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DA1EBD" w:rsidRDefault="006311DA" w:rsidP="00627C9F">
      <w:pPr>
        <w:jc w:val="both"/>
        <w:rPr>
          <w:rFonts w:asciiTheme="majorHAnsi" w:hAnsiTheme="majorHAnsi" w:cs="Univers"/>
          <w:b/>
          <w:bCs/>
          <w:sz w:val="22"/>
          <w:szCs w:val="22"/>
        </w:rPr>
      </w:pPr>
      <w:r w:rsidRPr="00DA1EB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1C82F"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DA1EB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485A3E" w:rsidRDefault="00485A3E">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485A3E" w:rsidRDefault="00485A3E">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DA1EBD" w:rsidRDefault="00040C3A" w:rsidP="00040C3A">
      <w:pPr>
        <w:tabs>
          <w:tab w:val="center" w:pos="5400"/>
        </w:tabs>
        <w:suppressAutoHyphens/>
        <w:jc w:val="both"/>
        <w:rPr>
          <w:rFonts w:asciiTheme="majorHAnsi" w:hAnsiTheme="majorHAnsi"/>
          <w:sz w:val="22"/>
          <w:szCs w:val="22"/>
        </w:rPr>
      </w:pPr>
    </w:p>
    <w:p w14:paraId="54AC1FBF" w14:textId="77777777" w:rsidR="00040C3A" w:rsidRPr="00DA1EBD" w:rsidRDefault="00040C3A" w:rsidP="00040C3A">
      <w:pPr>
        <w:tabs>
          <w:tab w:val="center" w:pos="5400"/>
        </w:tabs>
        <w:suppressAutoHyphens/>
        <w:jc w:val="both"/>
        <w:rPr>
          <w:rFonts w:asciiTheme="majorHAnsi" w:hAnsiTheme="majorHAnsi"/>
          <w:sz w:val="22"/>
          <w:szCs w:val="22"/>
        </w:rPr>
      </w:pPr>
    </w:p>
    <w:p w14:paraId="6A4AC464" w14:textId="77777777" w:rsidR="005128E4" w:rsidRPr="00DA1EBD" w:rsidRDefault="005128E4" w:rsidP="00040C3A">
      <w:pPr>
        <w:tabs>
          <w:tab w:val="center" w:pos="5400"/>
        </w:tabs>
        <w:suppressAutoHyphens/>
        <w:rPr>
          <w:rFonts w:asciiTheme="majorHAnsi" w:hAnsiTheme="majorHAnsi"/>
          <w:sz w:val="22"/>
          <w:szCs w:val="22"/>
        </w:rPr>
      </w:pPr>
      <w:bookmarkStart w:id="0" w:name="_GoBack"/>
      <w:bookmarkEnd w:id="0"/>
    </w:p>
    <w:p w14:paraId="515D20A5" w14:textId="77777777" w:rsidR="005128E4" w:rsidRPr="00DA1EBD" w:rsidRDefault="005128E4" w:rsidP="00040C3A">
      <w:pPr>
        <w:tabs>
          <w:tab w:val="center" w:pos="5400"/>
        </w:tabs>
        <w:suppressAutoHyphens/>
        <w:rPr>
          <w:rFonts w:asciiTheme="majorHAnsi" w:hAnsiTheme="majorHAnsi"/>
          <w:sz w:val="22"/>
          <w:szCs w:val="22"/>
        </w:rPr>
      </w:pPr>
    </w:p>
    <w:p w14:paraId="7CBA3E7E" w14:textId="77777777" w:rsidR="005128E4" w:rsidRPr="00DA1EBD" w:rsidRDefault="005128E4" w:rsidP="00040C3A">
      <w:pPr>
        <w:tabs>
          <w:tab w:val="center" w:pos="5400"/>
        </w:tabs>
        <w:suppressAutoHyphens/>
        <w:rPr>
          <w:rFonts w:asciiTheme="majorHAnsi" w:hAnsiTheme="majorHAnsi"/>
          <w:sz w:val="22"/>
          <w:szCs w:val="22"/>
        </w:rPr>
      </w:pPr>
    </w:p>
    <w:p w14:paraId="0FFC5ED6" w14:textId="77777777" w:rsidR="00040C3A" w:rsidRPr="00DA1EBD" w:rsidRDefault="00040C3A" w:rsidP="005128E4">
      <w:pPr>
        <w:tabs>
          <w:tab w:val="center" w:pos="5400"/>
        </w:tabs>
        <w:suppressAutoHyphens/>
        <w:jc w:val="center"/>
        <w:rPr>
          <w:rFonts w:asciiTheme="majorHAnsi" w:hAnsiTheme="majorHAnsi"/>
          <w:sz w:val="22"/>
          <w:szCs w:val="22"/>
        </w:rPr>
      </w:pPr>
    </w:p>
    <w:p w14:paraId="5FCF0358" w14:textId="77777777" w:rsidR="00040C3A" w:rsidRPr="00DA1EBD" w:rsidRDefault="00040C3A" w:rsidP="005128E4">
      <w:pPr>
        <w:tabs>
          <w:tab w:val="center" w:pos="5400"/>
        </w:tabs>
        <w:suppressAutoHyphens/>
        <w:jc w:val="center"/>
        <w:rPr>
          <w:rFonts w:asciiTheme="majorHAnsi" w:hAnsiTheme="majorHAnsi"/>
          <w:sz w:val="22"/>
          <w:szCs w:val="22"/>
        </w:rPr>
      </w:pPr>
    </w:p>
    <w:p w14:paraId="23C02B60" w14:textId="77777777" w:rsidR="005B52B0" w:rsidRPr="00DA1EBD" w:rsidRDefault="005B52B0" w:rsidP="005128E4">
      <w:pPr>
        <w:tabs>
          <w:tab w:val="center" w:pos="5400"/>
        </w:tabs>
        <w:suppressAutoHyphens/>
        <w:jc w:val="center"/>
        <w:rPr>
          <w:rFonts w:asciiTheme="majorHAnsi" w:hAnsiTheme="majorHAnsi"/>
          <w:sz w:val="22"/>
          <w:szCs w:val="22"/>
        </w:rPr>
      </w:pPr>
    </w:p>
    <w:p w14:paraId="1E4CC4A3" w14:textId="77777777" w:rsidR="005B52B0" w:rsidRPr="00DA1EBD" w:rsidRDefault="005B52B0" w:rsidP="005128E4">
      <w:pPr>
        <w:tabs>
          <w:tab w:val="center" w:pos="5400"/>
        </w:tabs>
        <w:suppressAutoHyphens/>
        <w:jc w:val="center"/>
        <w:rPr>
          <w:rFonts w:asciiTheme="majorHAnsi" w:hAnsiTheme="majorHAnsi"/>
          <w:sz w:val="22"/>
          <w:szCs w:val="22"/>
        </w:rPr>
      </w:pPr>
    </w:p>
    <w:p w14:paraId="022074FD" w14:textId="77777777" w:rsidR="005B52B0" w:rsidRPr="00DA1EBD" w:rsidRDefault="005B52B0" w:rsidP="005128E4">
      <w:pPr>
        <w:tabs>
          <w:tab w:val="center" w:pos="5400"/>
        </w:tabs>
        <w:suppressAutoHyphens/>
        <w:jc w:val="center"/>
        <w:rPr>
          <w:rFonts w:asciiTheme="majorHAnsi" w:hAnsiTheme="majorHAnsi"/>
          <w:sz w:val="22"/>
          <w:szCs w:val="22"/>
        </w:rPr>
      </w:pPr>
    </w:p>
    <w:p w14:paraId="3234C43C" w14:textId="77777777" w:rsidR="00040C3A" w:rsidRPr="00DA1EBD" w:rsidRDefault="00040C3A" w:rsidP="00040C3A">
      <w:pPr>
        <w:tabs>
          <w:tab w:val="center" w:pos="5400"/>
        </w:tabs>
        <w:suppressAutoHyphens/>
        <w:jc w:val="center"/>
        <w:rPr>
          <w:rFonts w:asciiTheme="majorHAnsi" w:hAnsiTheme="majorHAnsi"/>
          <w:sz w:val="22"/>
          <w:szCs w:val="22"/>
        </w:rPr>
      </w:pPr>
    </w:p>
    <w:p w14:paraId="2D58FFBA" w14:textId="77777777" w:rsidR="00040C3A" w:rsidRPr="00DA1EBD" w:rsidRDefault="00040C3A" w:rsidP="00040C3A">
      <w:pPr>
        <w:tabs>
          <w:tab w:val="center" w:pos="5400"/>
        </w:tabs>
        <w:suppressAutoHyphens/>
        <w:jc w:val="center"/>
        <w:rPr>
          <w:rFonts w:asciiTheme="majorHAnsi" w:hAnsiTheme="majorHAnsi"/>
          <w:sz w:val="22"/>
          <w:szCs w:val="22"/>
        </w:rPr>
      </w:pPr>
    </w:p>
    <w:p w14:paraId="4A574974" w14:textId="77777777" w:rsidR="00040C3A" w:rsidRPr="00DA1EBD" w:rsidRDefault="00040C3A" w:rsidP="00040C3A">
      <w:pPr>
        <w:tabs>
          <w:tab w:val="center" w:pos="5400"/>
        </w:tabs>
        <w:suppressAutoHyphens/>
        <w:jc w:val="center"/>
        <w:rPr>
          <w:rFonts w:asciiTheme="majorHAnsi" w:hAnsiTheme="majorHAnsi"/>
          <w:sz w:val="22"/>
          <w:szCs w:val="22"/>
        </w:rPr>
      </w:pPr>
    </w:p>
    <w:p w14:paraId="11A9BA8A" w14:textId="6AF5020C" w:rsidR="00040C3A" w:rsidRPr="00DA1EBD" w:rsidRDefault="00E533FF" w:rsidP="00040C3A">
      <w:pPr>
        <w:tabs>
          <w:tab w:val="center" w:pos="5400"/>
        </w:tabs>
        <w:suppressAutoHyphens/>
        <w:jc w:val="center"/>
        <w:rPr>
          <w:rFonts w:asciiTheme="majorHAnsi" w:hAnsiTheme="majorHAnsi"/>
          <w:sz w:val="22"/>
          <w:szCs w:val="22"/>
        </w:rPr>
      </w:pPr>
      <w:r w:rsidRPr="00DA1EB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06A3B4D9" w:rsidR="00485A3E" w:rsidRPr="004B7EB6" w:rsidRDefault="00485A3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980BE8">
                              <w:rPr>
                                <w:rFonts w:asciiTheme="majorHAnsi" w:hAnsiTheme="majorHAnsi" w:cs="Arial"/>
                                <w:b/>
                                <w:bCs/>
                                <w:color w:val="0D0D0D" w:themeColor="text1" w:themeTint="F2"/>
                                <w:sz w:val="36"/>
                                <w:szCs w:val="40"/>
                              </w:rPr>
                              <w:t>7</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081F51F3" w14:textId="511A9420" w:rsidR="00485A3E" w:rsidRPr="004B7EB6" w:rsidRDefault="00485A3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18-07</w:t>
                            </w:r>
                          </w:p>
                          <w:p w14:paraId="34978E5A" w14:textId="47DFEF23" w:rsidR="00485A3E" w:rsidRPr="004B7EB6" w:rsidRDefault="00485A3E"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85A3E" w:rsidRPr="004B7EB6" w:rsidRDefault="00485A3E" w:rsidP="004B7EB6">
                            <w:pPr>
                              <w:spacing w:line="276" w:lineRule="auto"/>
                              <w:rPr>
                                <w:rFonts w:asciiTheme="majorHAnsi" w:hAnsiTheme="majorHAnsi" w:cs="Arial"/>
                                <w:color w:val="0D0D0D" w:themeColor="text1" w:themeTint="F2"/>
                                <w:szCs w:val="22"/>
                              </w:rPr>
                            </w:pPr>
                          </w:p>
                          <w:p w14:paraId="7A73D628" w14:textId="31AA6DDB" w:rsidR="00485A3E" w:rsidRPr="004B625D" w:rsidRDefault="00485A3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BOCAS DE ARACATACA MASSACRE</w:t>
                            </w:r>
                          </w:p>
                          <w:p w14:paraId="48EBC31A" w14:textId="65F65361" w:rsidR="00485A3E" w:rsidRPr="004B625D" w:rsidRDefault="00485A3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COLOMBIA</w:t>
                            </w:r>
                          </w:p>
                          <w:p w14:paraId="17A89EFB" w14:textId="77777777" w:rsidR="00485A3E" w:rsidRPr="000C4365" w:rsidRDefault="00485A3E"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06A3B4D9" w:rsidR="00485A3E" w:rsidRPr="004B7EB6" w:rsidRDefault="00485A3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980BE8">
                        <w:rPr>
                          <w:rFonts w:asciiTheme="majorHAnsi" w:hAnsiTheme="majorHAnsi" w:cs="Arial"/>
                          <w:b/>
                          <w:bCs/>
                          <w:color w:val="0D0D0D" w:themeColor="text1" w:themeTint="F2"/>
                          <w:sz w:val="36"/>
                          <w:szCs w:val="40"/>
                        </w:rPr>
                        <w:t>7</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9</w:t>
                      </w:r>
                    </w:p>
                    <w:p w14:paraId="081F51F3" w14:textId="511A9420" w:rsidR="00485A3E" w:rsidRPr="004B7EB6" w:rsidRDefault="00485A3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18-07</w:t>
                      </w:r>
                    </w:p>
                    <w:p w14:paraId="34978E5A" w14:textId="47DFEF23" w:rsidR="00485A3E" w:rsidRPr="004B7EB6" w:rsidRDefault="00485A3E"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85A3E" w:rsidRPr="004B7EB6" w:rsidRDefault="00485A3E" w:rsidP="004B7EB6">
                      <w:pPr>
                        <w:spacing w:line="276" w:lineRule="auto"/>
                        <w:rPr>
                          <w:rFonts w:asciiTheme="majorHAnsi" w:hAnsiTheme="majorHAnsi" w:cs="Arial"/>
                          <w:color w:val="0D0D0D" w:themeColor="text1" w:themeTint="F2"/>
                          <w:szCs w:val="22"/>
                        </w:rPr>
                      </w:pPr>
                    </w:p>
                    <w:p w14:paraId="7A73D628" w14:textId="31AA6DDB" w:rsidR="00485A3E" w:rsidRPr="004B625D" w:rsidRDefault="00485A3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BOCAS DE ARACATACA MASSACRE</w:t>
                      </w:r>
                    </w:p>
                    <w:p w14:paraId="48EBC31A" w14:textId="65F65361" w:rsidR="00485A3E" w:rsidRPr="004B625D" w:rsidRDefault="00485A3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COLOMBIA</w:t>
                      </w:r>
                    </w:p>
                    <w:p w14:paraId="17A89EFB" w14:textId="77777777" w:rsidR="00485A3E" w:rsidRPr="000C4365" w:rsidRDefault="00485A3E" w:rsidP="00F42B71">
                      <w:pPr>
                        <w:spacing w:line="276" w:lineRule="auto"/>
                        <w:rPr>
                          <w:rFonts w:asciiTheme="majorHAnsi" w:hAnsiTheme="majorHAnsi"/>
                          <w:color w:val="0D0D0D" w:themeColor="text1" w:themeTint="F2"/>
                        </w:rPr>
                      </w:pPr>
                    </w:p>
                  </w:txbxContent>
                </v:textbox>
              </v:shape>
            </w:pict>
          </mc:Fallback>
        </mc:AlternateContent>
      </w:r>
    </w:p>
    <w:p w14:paraId="3765F9FA" w14:textId="545C703B" w:rsidR="00040C3A" w:rsidRPr="00DA1EBD" w:rsidRDefault="000472D4" w:rsidP="00040C3A">
      <w:pPr>
        <w:tabs>
          <w:tab w:val="center" w:pos="5400"/>
        </w:tabs>
        <w:suppressAutoHyphens/>
        <w:jc w:val="center"/>
        <w:rPr>
          <w:rFonts w:asciiTheme="majorHAnsi" w:hAnsiTheme="majorHAnsi"/>
          <w:sz w:val="22"/>
          <w:szCs w:val="22"/>
        </w:rPr>
      </w:pPr>
      <w:r w:rsidRPr="00DA1EB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794A7A98">
                <wp:simplePos x="0" y="0"/>
                <wp:positionH relativeFrom="column">
                  <wp:posOffset>-371475</wp:posOffset>
                </wp:positionH>
                <wp:positionV relativeFrom="paragraph">
                  <wp:posOffset>52070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5A8A35D" w:rsidR="00485A3E" w:rsidRPr="00980BE8" w:rsidRDefault="00485A3E"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w:t>
                            </w:r>
                            <w:r w:rsidRPr="00980BE8">
                              <w:rPr>
                                <w:rFonts w:asciiTheme="minorHAnsi" w:hAnsiTheme="minorHAnsi"/>
                                <w:color w:val="FFFFFF" w:themeColor="background1"/>
                                <w:sz w:val="22"/>
                                <w:lang w:val="pt-BR"/>
                              </w:rPr>
                              <w:t>V/II.</w:t>
                            </w:r>
                          </w:p>
                          <w:p w14:paraId="4AA08A8C" w14:textId="47395718" w:rsidR="00485A3E" w:rsidRPr="00980BE8" w:rsidRDefault="00485A3E" w:rsidP="009E566A">
                            <w:pPr>
                              <w:jc w:val="right"/>
                              <w:rPr>
                                <w:rFonts w:asciiTheme="minorHAnsi" w:hAnsiTheme="minorHAnsi"/>
                                <w:color w:val="FFFFFF" w:themeColor="background1"/>
                                <w:sz w:val="22"/>
                                <w:lang w:val="pt-BR"/>
                              </w:rPr>
                            </w:pPr>
                            <w:r w:rsidRPr="00980BE8">
                              <w:rPr>
                                <w:rFonts w:asciiTheme="minorHAnsi" w:hAnsiTheme="minorHAnsi"/>
                                <w:color w:val="FFFFFF" w:themeColor="background1"/>
                                <w:sz w:val="22"/>
                                <w:lang w:val="pt-BR"/>
                              </w:rPr>
                              <w:t xml:space="preserve">Doc. </w:t>
                            </w:r>
                            <w:r w:rsidR="00980BE8">
                              <w:rPr>
                                <w:rFonts w:asciiTheme="minorHAnsi" w:hAnsiTheme="minorHAnsi"/>
                                <w:color w:val="FFFFFF" w:themeColor="background1"/>
                                <w:sz w:val="22"/>
                                <w:lang w:val="pt-BR"/>
                              </w:rPr>
                              <w:t>8</w:t>
                            </w:r>
                          </w:p>
                          <w:p w14:paraId="0BEFF61A" w14:textId="5F0DC2CF" w:rsidR="00485A3E" w:rsidRPr="00980BE8" w:rsidRDefault="00980BE8" w:rsidP="009E566A">
                            <w:pPr>
                              <w:jc w:val="right"/>
                              <w:rPr>
                                <w:rFonts w:asciiTheme="minorHAnsi" w:hAnsiTheme="minorHAnsi"/>
                                <w:color w:val="FFFFFF" w:themeColor="background1"/>
                                <w:sz w:val="22"/>
                              </w:rPr>
                            </w:pPr>
                            <w:r>
                              <w:rPr>
                                <w:rFonts w:asciiTheme="minorHAnsi" w:hAnsiTheme="minorHAnsi"/>
                                <w:color w:val="FFFFFF" w:themeColor="background1"/>
                                <w:sz w:val="22"/>
                              </w:rPr>
                              <w:t>3 February</w:t>
                            </w:r>
                            <w:r w:rsidR="00485A3E" w:rsidRPr="00980BE8">
                              <w:rPr>
                                <w:rFonts w:asciiTheme="minorHAnsi" w:hAnsiTheme="minorHAnsi"/>
                                <w:color w:val="FFFFFF" w:themeColor="background1"/>
                                <w:sz w:val="22"/>
                              </w:rPr>
                              <w:t xml:space="preserve"> 2019</w:t>
                            </w:r>
                          </w:p>
                          <w:p w14:paraId="0FC103BD" w14:textId="43D626A0" w:rsidR="00485A3E" w:rsidRPr="004B7EB6" w:rsidRDefault="00485A3E" w:rsidP="009E566A">
                            <w:pPr>
                              <w:jc w:val="right"/>
                              <w:rPr>
                                <w:rFonts w:asciiTheme="minorHAnsi" w:hAnsiTheme="minorHAnsi"/>
                                <w:color w:val="FFFFFF" w:themeColor="background1"/>
                                <w:sz w:val="22"/>
                              </w:rPr>
                            </w:pPr>
                            <w:r w:rsidRPr="00980BE8">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4.1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" filled="f" stroked="f" strokeweight=".5pt">
                <v:textbox>
                  <w:txbxContent>
                    <w:p w14:paraId="65856C81" w14:textId="65A8A35D" w:rsidR="00485A3E" w:rsidRPr="00980BE8" w:rsidRDefault="00485A3E"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w:t>
                      </w:r>
                      <w:r w:rsidRPr="00980BE8">
                        <w:rPr>
                          <w:rFonts w:asciiTheme="minorHAnsi" w:hAnsiTheme="minorHAnsi"/>
                          <w:color w:val="FFFFFF" w:themeColor="background1"/>
                          <w:sz w:val="22"/>
                          <w:lang w:val="pt-BR"/>
                        </w:rPr>
                        <w:t>V/II.</w:t>
                      </w:r>
                    </w:p>
                    <w:p w14:paraId="4AA08A8C" w14:textId="47395718" w:rsidR="00485A3E" w:rsidRPr="00980BE8" w:rsidRDefault="00485A3E" w:rsidP="009E566A">
                      <w:pPr>
                        <w:jc w:val="right"/>
                        <w:rPr>
                          <w:rFonts w:asciiTheme="minorHAnsi" w:hAnsiTheme="minorHAnsi"/>
                          <w:color w:val="FFFFFF" w:themeColor="background1"/>
                          <w:sz w:val="22"/>
                          <w:lang w:val="pt-BR"/>
                        </w:rPr>
                      </w:pPr>
                      <w:r w:rsidRPr="00980BE8">
                        <w:rPr>
                          <w:rFonts w:asciiTheme="minorHAnsi" w:hAnsiTheme="minorHAnsi"/>
                          <w:color w:val="FFFFFF" w:themeColor="background1"/>
                          <w:sz w:val="22"/>
                          <w:lang w:val="pt-BR"/>
                        </w:rPr>
                        <w:t xml:space="preserve">Doc. </w:t>
                      </w:r>
                      <w:r w:rsidR="00980BE8">
                        <w:rPr>
                          <w:rFonts w:asciiTheme="minorHAnsi" w:hAnsiTheme="minorHAnsi"/>
                          <w:color w:val="FFFFFF" w:themeColor="background1"/>
                          <w:sz w:val="22"/>
                          <w:lang w:val="pt-BR"/>
                        </w:rPr>
                        <w:t>8</w:t>
                      </w:r>
                    </w:p>
                    <w:p w14:paraId="0BEFF61A" w14:textId="5F0DC2CF" w:rsidR="00485A3E" w:rsidRPr="00980BE8" w:rsidRDefault="00980BE8" w:rsidP="009E566A">
                      <w:pPr>
                        <w:jc w:val="right"/>
                        <w:rPr>
                          <w:rFonts w:asciiTheme="minorHAnsi" w:hAnsiTheme="minorHAnsi"/>
                          <w:color w:val="FFFFFF" w:themeColor="background1"/>
                          <w:sz w:val="22"/>
                        </w:rPr>
                      </w:pPr>
                      <w:r>
                        <w:rPr>
                          <w:rFonts w:asciiTheme="minorHAnsi" w:hAnsiTheme="minorHAnsi"/>
                          <w:color w:val="FFFFFF" w:themeColor="background1"/>
                          <w:sz w:val="22"/>
                        </w:rPr>
                        <w:t>3 February</w:t>
                      </w:r>
                      <w:r w:rsidR="00485A3E" w:rsidRPr="00980BE8">
                        <w:rPr>
                          <w:rFonts w:asciiTheme="minorHAnsi" w:hAnsiTheme="minorHAnsi"/>
                          <w:color w:val="FFFFFF" w:themeColor="background1"/>
                          <w:sz w:val="22"/>
                        </w:rPr>
                        <w:t xml:space="preserve"> 2019</w:t>
                      </w:r>
                    </w:p>
                    <w:p w14:paraId="0FC103BD" w14:textId="43D626A0" w:rsidR="00485A3E" w:rsidRPr="004B7EB6" w:rsidRDefault="00485A3E" w:rsidP="009E566A">
                      <w:pPr>
                        <w:jc w:val="right"/>
                        <w:rPr>
                          <w:rFonts w:asciiTheme="minorHAnsi" w:hAnsiTheme="minorHAnsi"/>
                          <w:color w:val="FFFFFF" w:themeColor="background1"/>
                          <w:sz w:val="22"/>
                        </w:rPr>
                      </w:pPr>
                      <w:r w:rsidRPr="00980BE8">
                        <w:rPr>
                          <w:rFonts w:asciiTheme="minorHAnsi" w:hAnsiTheme="minorHAnsi"/>
                          <w:color w:val="FFFFFF" w:themeColor="background1"/>
                          <w:sz w:val="22"/>
                        </w:rPr>
                        <w:t>Original: Spanish</w:t>
                      </w:r>
                    </w:p>
                  </w:txbxContent>
                </v:textbox>
              </v:shape>
            </w:pict>
          </mc:Fallback>
        </mc:AlternateContent>
      </w:r>
    </w:p>
    <w:p w14:paraId="5E33CE59" w14:textId="77777777" w:rsidR="00040C3A" w:rsidRPr="00DA1EBD"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DA1EBD" w:rsidRDefault="00040C3A" w:rsidP="00040C3A">
      <w:pPr>
        <w:tabs>
          <w:tab w:val="center" w:pos="5400"/>
        </w:tabs>
        <w:suppressAutoHyphens/>
        <w:jc w:val="center"/>
        <w:rPr>
          <w:rFonts w:asciiTheme="majorHAnsi" w:hAnsiTheme="majorHAnsi"/>
          <w:sz w:val="22"/>
          <w:szCs w:val="22"/>
        </w:rPr>
      </w:pPr>
    </w:p>
    <w:p w14:paraId="43677EE2" w14:textId="77777777" w:rsidR="00040C3A" w:rsidRPr="00DA1EBD" w:rsidRDefault="00040C3A" w:rsidP="00040C3A">
      <w:pPr>
        <w:tabs>
          <w:tab w:val="center" w:pos="5400"/>
        </w:tabs>
        <w:suppressAutoHyphens/>
        <w:jc w:val="center"/>
        <w:rPr>
          <w:rFonts w:asciiTheme="majorHAnsi" w:hAnsiTheme="majorHAnsi"/>
          <w:sz w:val="22"/>
          <w:szCs w:val="22"/>
        </w:rPr>
      </w:pPr>
    </w:p>
    <w:p w14:paraId="747B776B" w14:textId="77777777" w:rsidR="00040C3A" w:rsidRPr="00DA1EBD" w:rsidRDefault="00040C3A" w:rsidP="00040C3A">
      <w:pPr>
        <w:tabs>
          <w:tab w:val="center" w:pos="5400"/>
        </w:tabs>
        <w:suppressAutoHyphens/>
        <w:jc w:val="center"/>
        <w:rPr>
          <w:rFonts w:asciiTheme="majorHAnsi" w:hAnsiTheme="majorHAnsi"/>
          <w:sz w:val="22"/>
          <w:szCs w:val="22"/>
        </w:rPr>
      </w:pPr>
    </w:p>
    <w:p w14:paraId="3FA14379" w14:textId="77777777" w:rsidR="00040C3A" w:rsidRPr="00DA1EBD" w:rsidRDefault="00040C3A" w:rsidP="00040C3A">
      <w:pPr>
        <w:tabs>
          <w:tab w:val="center" w:pos="5400"/>
        </w:tabs>
        <w:suppressAutoHyphens/>
        <w:jc w:val="center"/>
        <w:rPr>
          <w:rFonts w:asciiTheme="majorHAnsi" w:hAnsiTheme="majorHAnsi"/>
          <w:sz w:val="22"/>
          <w:szCs w:val="22"/>
        </w:rPr>
      </w:pPr>
    </w:p>
    <w:p w14:paraId="28A65FAF" w14:textId="77777777" w:rsidR="005128E4" w:rsidRPr="00DA1EBD" w:rsidRDefault="005128E4" w:rsidP="00040C3A">
      <w:pPr>
        <w:tabs>
          <w:tab w:val="center" w:pos="5400"/>
        </w:tabs>
        <w:suppressAutoHyphens/>
        <w:jc w:val="center"/>
        <w:rPr>
          <w:rFonts w:asciiTheme="majorHAnsi" w:hAnsiTheme="majorHAnsi"/>
          <w:sz w:val="22"/>
          <w:szCs w:val="22"/>
        </w:rPr>
      </w:pPr>
    </w:p>
    <w:p w14:paraId="11B1978A" w14:textId="77777777" w:rsidR="00040C3A" w:rsidRPr="00DA1EBD" w:rsidRDefault="00040C3A" w:rsidP="00040C3A">
      <w:pPr>
        <w:tabs>
          <w:tab w:val="center" w:pos="5400"/>
        </w:tabs>
        <w:suppressAutoHyphens/>
        <w:jc w:val="center"/>
        <w:rPr>
          <w:rFonts w:asciiTheme="majorHAnsi" w:hAnsiTheme="majorHAnsi"/>
          <w:sz w:val="22"/>
          <w:szCs w:val="22"/>
        </w:rPr>
      </w:pPr>
    </w:p>
    <w:p w14:paraId="650F503D" w14:textId="77777777" w:rsidR="005128E4" w:rsidRPr="00DA1EBD" w:rsidRDefault="005128E4" w:rsidP="00040C3A">
      <w:pPr>
        <w:tabs>
          <w:tab w:val="center" w:pos="5400"/>
        </w:tabs>
        <w:suppressAutoHyphens/>
        <w:jc w:val="center"/>
        <w:rPr>
          <w:rFonts w:asciiTheme="majorHAnsi" w:hAnsiTheme="majorHAnsi"/>
          <w:sz w:val="22"/>
          <w:szCs w:val="22"/>
        </w:rPr>
      </w:pPr>
    </w:p>
    <w:p w14:paraId="17861C77" w14:textId="77777777" w:rsidR="005128E4" w:rsidRPr="00DA1EBD" w:rsidRDefault="005128E4" w:rsidP="00040C3A">
      <w:pPr>
        <w:tabs>
          <w:tab w:val="center" w:pos="5400"/>
        </w:tabs>
        <w:suppressAutoHyphens/>
        <w:jc w:val="center"/>
        <w:rPr>
          <w:rFonts w:asciiTheme="majorHAnsi" w:hAnsiTheme="majorHAnsi"/>
          <w:sz w:val="22"/>
          <w:szCs w:val="22"/>
        </w:rPr>
      </w:pPr>
    </w:p>
    <w:p w14:paraId="0EFEAEB7" w14:textId="77777777" w:rsidR="005128E4" w:rsidRPr="00DA1EBD" w:rsidRDefault="005128E4" w:rsidP="00040C3A">
      <w:pPr>
        <w:tabs>
          <w:tab w:val="center" w:pos="5400"/>
        </w:tabs>
        <w:suppressAutoHyphens/>
        <w:jc w:val="center"/>
        <w:rPr>
          <w:rFonts w:asciiTheme="majorHAnsi" w:hAnsiTheme="majorHAnsi"/>
          <w:sz w:val="22"/>
          <w:szCs w:val="22"/>
        </w:rPr>
      </w:pPr>
    </w:p>
    <w:p w14:paraId="5B815FC5" w14:textId="77777777" w:rsidR="00040C3A" w:rsidRPr="00DA1EBD" w:rsidRDefault="00040C3A" w:rsidP="00040C3A">
      <w:pPr>
        <w:tabs>
          <w:tab w:val="center" w:pos="5400"/>
        </w:tabs>
        <w:suppressAutoHyphens/>
        <w:jc w:val="center"/>
        <w:rPr>
          <w:rFonts w:asciiTheme="majorHAnsi" w:hAnsiTheme="majorHAnsi"/>
          <w:sz w:val="22"/>
          <w:szCs w:val="22"/>
        </w:rPr>
      </w:pPr>
    </w:p>
    <w:p w14:paraId="0D43F8BD" w14:textId="77777777" w:rsidR="00040C3A" w:rsidRPr="00DA1EBD" w:rsidRDefault="00040C3A" w:rsidP="00040C3A">
      <w:pPr>
        <w:tabs>
          <w:tab w:val="center" w:pos="5400"/>
        </w:tabs>
        <w:suppressAutoHyphens/>
        <w:jc w:val="center"/>
        <w:rPr>
          <w:rFonts w:asciiTheme="majorHAnsi" w:hAnsiTheme="majorHAnsi"/>
          <w:sz w:val="22"/>
          <w:szCs w:val="22"/>
        </w:rPr>
      </w:pPr>
    </w:p>
    <w:p w14:paraId="03AA1AEB" w14:textId="77777777" w:rsidR="002C1641" w:rsidRPr="00DA1EBD" w:rsidRDefault="002C1641" w:rsidP="00040C3A">
      <w:pPr>
        <w:tabs>
          <w:tab w:val="center" w:pos="5400"/>
        </w:tabs>
        <w:suppressAutoHyphens/>
        <w:jc w:val="center"/>
        <w:rPr>
          <w:rFonts w:asciiTheme="majorHAnsi" w:hAnsiTheme="majorHAnsi"/>
          <w:sz w:val="18"/>
          <w:szCs w:val="22"/>
        </w:rPr>
      </w:pPr>
    </w:p>
    <w:p w14:paraId="2FD75BF3" w14:textId="77777777" w:rsidR="002C1641" w:rsidRPr="00DA1EBD" w:rsidRDefault="002C1641" w:rsidP="00040C3A">
      <w:pPr>
        <w:tabs>
          <w:tab w:val="center" w:pos="5400"/>
        </w:tabs>
        <w:suppressAutoHyphens/>
        <w:jc w:val="center"/>
        <w:rPr>
          <w:rFonts w:asciiTheme="majorHAnsi" w:hAnsiTheme="majorHAnsi"/>
          <w:sz w:val="18"/>
          <w:szCs w:val="22"/>
        </w:rPr>
      </w:pPr>
    </w:p>
    <w:p w14:paraId="73EF440E" w14:textId="77777777" w:rsidR="002C1641" w:rsidRPr="00DA1EBD" w:rsidRDefault="002C1641" w:rsidP="00040C3A">
      <w:pPr>
        <w:tabs>
          <w:tab w:val="center" w:pos="5400"/>
        </w:tabs>
        <w:suppressAutoHyphens/>
        <w:jc w:val="center"/>
        <w:rPr>
          <w:rFonts w:asciiTheme="majorHAnsi" w:hAnsiTheme="majorHAnsi"/>
          <w:sz w:val="18"/>
          <w:szCs w:val="22"/>
        </w:rPr>
      </w:pPr>
    </w:p>
    <w:p w14:paraId="3D12B191" w14:textId="77777777" w:rsidR="002C1641" w:rsidRPr="00DA1EBD" w:rsidRDefault="002C1641" w:rsidP="00040C3A">
      <w:pPr>
        <w:tabs>
          <w:tab w:val="center" w:pos="5400"/>
        </w:tabs>
        <w:suppressAutoHyphens/>
        <w:jc w:val="center"/>
        <w:rPr>
          <w:rFonts w:asciiTheme="majorHAnsi" w:hAnsiTheme="majorHAnsi"/>
          <w:sz w:val="18"/>
          <w:szCs w:val="22"/>
        </w:rPr>
      </w:pPr>
    </w:p>
    <w:p w14:paraId="1132D17C" w14:textId="77777777" w:rsidR="002C1641" w:rsidRPr="00DA1EBD" w:rsidRDefault="002C1641" w:rsidP="00040C3A">
      <w:pPr>
        <w:tabs>
          <w:tab w:val="center" w:pos="5400"/>
        </w:tabs>
        <w:suppressAutoHyphens/>
        <w:jc w:val="center"/>
        <w:rPr>
          <w:rFonts w:asciiTheme="majorHAnsi" w:hAnsiTheme="majorHAnsi"/>
          <w:sz w:val="18"/>
          <w:szCs w:val="22"/>
        </w:rPr>
      </w:pPr>
    </w:p>
    <w:p w14:paraId="659B324C" w14:textId="77777777" w:rsidR="002C1641" w:rsidRPr="00DA1EBD" w:rsidRDefault="002C1641" w:rsidP="00040C3A">
      <w:pPr>
        <w:tabs>
          <w:tab w:val="center" w:pos="5400"/>
        </w:tabs>
        <w:suppressAutoHyphens/>
        <w:jc w:val="center"/>
        <w:rPr>
          <w:rFonts w:asciiTheme="majorHAnsi" w:hAnsiTheme="majorHAnsi"/>
          <w:sz w:val="18"/>
          <w:szCs w:val="22"/>
        </w:rPr>
      </w:pPr>
    </w:p>
    <w:p w14:paraId="0DE58CEA" w14:textId="77777777" w:rsidR="002C1641" w:rsidRPr="00DA1EBD" w:rsidRDefault="002C1641" w:rsidP="00040C3A">
      <w:pPr>
        <w:tabs>
          <w:tab w:val="center" w:pos="5400"/>
        </w:tabs>
        <w:suppressAutoHyphens/>
        <w:jc w:val="center"/>
        <w:rPr>
          <w:rFonts w:asciiTheme="majorHAnsi" w:hAnsiTheme="majorHAnsi"/>
          <w:sz w:val="18"/>
          <w:szCs w:val="22"/>
        </w:rPr>
      </w:pPr>
    </w:p>
    <w:p w14:paraId="3A5BB7C9" w14:textId="77777777" w:rsidR="002C1641" w:rsidRPr="00DA1EBD" w:rsidRDefault="002C1641" w:rsidP="00040C3A">
      <w:pPr>
        <w:tabs>
          <w:tab w:val="center" w:pos="5400"/>
        </w:tabs>
        <w:suppressAutoHyphens/>
        <w:jc w:val="center"/>
        <w:rPr>
          <w:rFonts w:asciiTheme="majorHAnsi" w:hAnsiTheme="majorHAnsi"/>
          <w:sz w:val="18"/>
          <w:szCs w:val="22"/>
        </w:rPr>
      </w:pPr>
    </w:p>
    <w:p w14:paraId="6BA67E7F" w14:textId="77777777" w:rsidR="002C1641" w:rsidRPr="00DA1EBD" w:rsidRDefault="002C1641" w:rsidP="00040C3A">
      <w:pPr>
        <w:tabs>
          <w:tab w:val="center" w:pos="5400"/>
        </w:tabs>
        <w:suppressAutoHyphens/>
        <w:jc w:val="center"/>
        <w:rPr>
          <w:rFonts w:asciiTheme="majorHAnsi" w:hAnsiTheme="majorHAnsi"/>
          <w:sz w:val="18"/>
          <w:szCs w:val="22"/>
        </w:rPr>
      </w:pPr>
    </w:p>
    <w:p w14:paraId="6D4FBE3A" w14:textId="77777777" w:rsidR="002C1641" w:rsidRPr="00DA1EBD" w:rsidRDefault="002C1641" w:rsidP="00040C3A">
      <w:pPr>
        <w:tabs>
          <w:tab w:val="center" w:pos="5400"/>
        </w:tabs>
        <w:suppressAutoHyphens/>
        <w:jc w:val="center"/>
        <w:rPr>
          <w:rFonts w:asciiTheme="majorHAnsi" w:hAnsiTheme="majorHAnsi"/>
          <w:sz w:val="18"/>
          <w:szCs w:val="22"/>
        </w:rPr>
      </w:pPr>
    </w:p>
    <w:p w14:paraId="2741AD16" w14:textId="77777777" w:rsidR="002C1641" w:rsidRPr="00DA1EBD" w:rsidRDefault="002C1641" w:rsidP="00040C3A">
      <w:pPr>
        <w:tabs>
          <w:tab w:val="center" w:pos="5400"/>
        </w:tabs>
        <w:suppressAutoHyphens/>
        <w:jc w:val="center"/>
        <w:rPr>
          <w:rFonts w:asciiTheme="majorHAnsi" w:hAnsiTheme="majorHAnsi"/>
          <w:sz w:val="18"/>
          <w:szCs w:val="22"/>
        </w:rPr>
      </w:pPr>
    </w:p>
    <w:p w14:paraId="1D99DBC4" w14:textId="77777777" w:rsidR="002C1641" w:rsidRPr="00DA1EBD" w:rsidRDefault="002C1641" w:rsidP="00040C3A">
      <w:pPr>
        <w:tabs>
          <w:tab w:val="center" w:pos="5400"/>
        </w:tabs>
        <w:suppressAutoHyphens/>
        <w:jc w:val="center"/>
        <w:rPr>
          <w:rFonts w:asciiTheme="majorHAnsi" w:hAnsiTheme="majorHAnsi"/>
          <w:sz w:val="18"/>
          <w:szCs w:val="22"/>
        </w:rPr>
      </w:pPr>
    </w:p>
    <w:p w14:paraId="3290BF94" w14:textId="77777777" w:rsidR="002C1641" w:rsidRPr="00DA1EBD" w:rsidRDefault="003C32BC" w:rsidP="00040C3A">
      <w:pPr>
        <w:tabs>
          <w:tab w:val="center" w:pos="5400"/>
        </w:tabs>
        <w:suppressAutoHyphens/>
        <w:jc w:val="center"/>
        <w:rPr>
          <w:rFonts w:asciiTheme="majorHAnsi" w:hAnsiTheme="majorHAnsi"/>
          <w:sz w:val="18"/>
          <w:szCs w:val="22"/>
        </w:rPr>
      </w:pPr>
      <w:r w:rsidRPr="00DA1EB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6C06EF33" w:rsidR="00485A3E" w:rsidRPr="003C32BC" w:rsidRDefault="00485A3E"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Pr>
                                <w:rFonts w:asciiTheme="majorHAnsi" w:hAnsiTheme="majorHAnsi"/>
                                <w:color w:val="0D0D0D" w:themeColor="text1" w:themeTint="F2"/>
                                <w:sz w:val="18"/>
                                <w:szCs w:val="20"/>
                              </w:rPr>
                              <w:t xml:space="preserve">on </w:t>
                            </w:r>
                            <w:r w:rsidR="00D96A9E">
                              <w:rPr>
                                <w:rFonts w:asciiTheme="majorHAnsi" w:hAnsiTheme="majorHAnsi"/>
                                <w:color w:val="0D0D0D" w:themeColor="text1" w:themeTint="F2"/>
                                <w:sz w:val="18"/>
                                <w:szCs w:val="20"/>
                              </w:rPr>
                              <w:t>February 3</w:t>
                            </w:r>
                            <w:r>
                              <w:rPr>
                                <w:rFonts w:asciiTheme="majorHAnsi" w:hAnsiTheme="majorHAnsi"/>
                                <w:color w:val="0D0D0D" w:themeColor="text1" w:themeTint="F2"/>
                                <w:sz w:val="18"/>
                                <w:szCs w:val="20"/>
                              </w:rPr>
                              <w:t>, 2019</w:t>
                            </w:r>
                            <w:r w:rsidR="00D72BAF">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6C06EF33" w:rsidR="00485A3E" w:rsidRPr="003C32BC" w:rsidRDefault="00485A3E"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Pr>
                          <w:rFonts w:asciiTheme="majorHAnsi" w:hAnsiTheme="majorHAnsi"/>
                          <w:color w:val="0D0D0D" w:themeColor="text1" w:themeTint="F2"/>
                          <w:sz w:val="18"/>
                          <w:szCs w:val="20"/>
                        </w:rPr>
                        <w:t xml:space="preserve">on </w:t>
                      </w:r>
                      <w:r w:rsidR="00D96A9E">
                        <w:rPr>
                          <w:rFonts w:asciiTheme="majorHAnsi" w:hAnsiTheme="majorHAnsi"/>
                          <w:color w:val="0D0D0D" w:themeColor="text1" w:themeTint="F2"/>
                          <w:sz w:val="18"/>
                          <w:szCs w:val="20"/>
                        </w:rPr>
                        <w:t>February 3</w:t>
                      </w:r>
                      <w:r>
                        <w:rPr>
                          <w:rFonts w:asciiTheme="majorHAnsi" w:hAnsiTheme="majorHAnsi"/>
                          <w:color w:val="0D0D0D" w:themeColor="text1" w:themeTint="F2"/>
                          <w:sz w:val="18"/>
                          <w:szCs w:val="20"/>
                        </w:rPr>
                        <w:t>, 2019</w:t>
                      </w:r>
                      <w:r w:rsidR="00D72BAF">
                        <w:rPr>
                          <w:rFonts w:asciiTheme="majorHAnsi" w:hAnsiTheme="majorHAnsi"/>
                          <w:color w:val="0D0D0D" w:themeColor="text1" w:themeTint="F2"/>
                          <w:sz w:val="18"/>
                          <w:szCs w:val="20"/>
                        </w:rPr>
                        <w:t>.</w:t>
                      </w:r>
                    </w:p>
                  </w:txbxContent>
                </v:textbox>
              </v:shape>
            </w:pict>
          </mc:Fallback>
        </mc:AlternateContent>
      </w:r>
    </w:p>
    <w:p w14:paraId="76124E47" w14:textId="77777777" w:rsidR="002C1641" w:rsidRPr="00DA1EBD" w:rsidRDefault="002C1641" w:rsidP="00040C3A">
      <w:pPr>
        <w:tabs>
          <w:tab w:val="center" w:pos="5400"/>
        </w:tabs>
        <w:suppressAutoHyphens/>
        <w:jc w:val="center"/>
        <w:rPr>
          <w:rFonts w:asciiTheme="majorHAnsi" w:hAnsiTheme="majorHAnsi"/>
          <w:sz w:val="18"/>
          <w:szCs w:val="22"/>
        </w:rPr>
      </w:pPr>
    </w:p>
    <w:p w14:paraId="3751FEDE" w14:textId="77777777" w:rsidR="002C1641" w:rsidRPr="00DA1EBD" w:rsidRDefault="002C1641" w:rsidP="00040C3A">
      <w:pPr>
        <w:tabs>
          <w:tab w:val="center" w:pos="5400"/>
        </w:tabs>
        <w:suppressAutoHyphens/>
        <w:jc w:val="center"/>
        <w:rPr>
          <w:rFonts w:asciiTheme="majorHAnsi" w:hAnsiTheme="majorHAnsi"/>
          <w:sz w:val="18"/>
          <w:szCs w:val="22"/>
        </w:rPr>
      </w:pPr>
    </w:p>
    <w:p w14:paraId="5FAB54E7" w14:textId="77777777" w:rsidR="002C1641" w:rsidRPr="00DA1EBD" w:rsidRDefault="002C1641" w:rsidP="00040C3A">
      <w:pPr>
        <w:tabs>
          <w:tab w:val="center" w:pos="5400"/>
        </w:tabs>
        <w:suppressAutoHyphens/>
        <w:jc w:val="center"/>
        <w:rPr>
          <w:rFonts w:asciiTheme="majorHAnsi" w:hAnsiTheme="majorHAnsi"/>
          <w:sz w:val="18"/>
          <w:szCs w:val="22"/>
        </w:rPr>
      </w:pPr>
    </w:p>
    <w:p w14:paraId="4AE4FBFB" w14:textId="77777777" w:rsidR="002C1641" w:rsidRPr="00DA1EBD" w:rsidRDefault="002C1641" w:rsidP="00040C3A">
      <w:pPr>
        <w:tabs>
          <w:tab w:val="center" w:pos="5400"/>
        </w:tabs>
        <w:suppressAutoHyphens/>
        <w:jc w:val="center"/>
        <w:rPr>
          <w:rFonts w:asciiTheme="majorHAnsi" w:hAnsiTheme="majorHAnsi"/>
          <w:sz w:val="18"/>
          <w:szCs w:val="22"/>
        </w:rPr>
      </w:pPr>
    </w:p>
    <w:p w14:paraId="4DA3B2C3" w14:textId="77777777" w:rsidR="002C1641" w:rsidRPr="00DA1EBD" w:rsidRDefault="003C32BC" w:rsidP="00040C3A">
      <w:pPr>
        <w:tabs>
          <w:tab w:val="center" w:pos="5400"/>
        </w:tabs>
        <w:suppressAutoHyphens/>
        <w:jc w:val="center"/>
        <w:rPr>
          <w:rFonts w:asciiTheme="majorHAnsi" w:hAnsiTheme="majorHAnsi"/>
          <w:sz w:val="18"/>
          <w:szCs w:val="22"/>
        </w:rPr>
      </w:pPr>
      <w:r w:rsidRPr="00DA1EBD">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584AD038" w:rsidR="00485A3E" w:rsidRPr="003C32BC" w:rsidRDefault="00485A3E"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96A9E">
                              <w:rPr>
                                <w:rFonts w:asciiTheme="majorHAnsi" w:hAnsiTheme="majorHAnsi"/>
                                <w:color w:val="595959" w:themeColor="text1" w:themeTint="A6"/>
                                <w:sz w:val="18"/>
                              </w:rPr>
                              <w:t>7</w:t>
                            </w:r>
                            <w:r>
                              <w:rPr>
                                <w:rFonts w:asciiTheme="majorHAnsi" w:hAnsiTheme="majorHAnsi"/>
                                <w:color w:val="595959" w:themeColor="text1" w:themeTint="A6"/>
                                <w:sz w:val="18"/>
                              </w:rPr>
                              <w:t>/1</w:t>
                            </w:r>
                            <w:r w:rsidR="00D96A9E">
                              <w:rPr>
                                <w:rFonts w:asciiTheme="majorHAnsi" w:hAnsiTheme="majorHAnsi"/>
                                <w:color w:val="595959" w:themeColor="text1" w:themeTint="A6"/>
                                <w:sz w:val="18"/>
                              </w:rPr>
                              <w:t>9</w:t>
                            </w:r>
                            <w:r w:rsidRPr="003C32BC">
                              <w:rPr>
                                <w:rFonts w:asciiTheme="majorHAnsi" w:hAnsiTheme="majorHAnsi"/>
                                <w:color w:val="595959" w:themeColor="text1" w:themeTint="A6"/>
                                <w:sz w:val="18"/>
                              </w:rPr>
                              <w:t xml:space="preserve">, </w:t>
                            </w:r>
                            <w:proofErr w:type="gramStart"/>
                            <w:r>
                              <w:rPr>
                                <w:rFonts w:asciiTheme="majorHAnsi" w:hAnsiTheme="majorHAnsi"/>
                                <w:color w:val="595959" w:themeColor="text1" w:themeTint="A6"/>
                                <w:sz w:val="18"/>
                              </w:rPr>
                              <w:t>Petition</w:t>
                            </w:r>
                            <w:proofErr w:type="gramEnd"/>
                            <w:r>
                              <w:rPr>
                                <w:rFonts w:asciiTheme="majorHAnsi" w:hAnsiTheme="majorHAnsi"/>
                                <w:color w:val="595959" w:themeColor="text1" w:themeTint="A6"/>
                                <w:sz w:val="18"/>
                              </w:rPr>
                              <w:t xml:space="preserve"> 18-07</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7513EE">
                              <w:rPr>
                                <w:rFonts w:asciiTheme="majorHAnsi" w:hAnsiTheme="majorHAnsi"/>
                                <w:color w:val="595959" w:themeColor="text1" w:themeTint="A6"/>
                                <w:sz w:val="18"/>
                                <w:lang w:val="pt-BR"/>
                              </w:rPr>
                              <w:t xml:space="preserve">Admissibility. Bocas de Aracataca Massacre. </w:t>
                            </w:r>
                            <w:r>
                              <w:rPr>
                                <w:rFonts w:asciiTheme="majorHAnsi" w:hAnsiTheme="majorHAnsi"/>
                                <w:color w:val="595959" w:themeColor="text1" w:themeTint="A6"/>
                                <w:sz w:val="18"/>
                              </w:rPr>
                              <w:t xml:space="preserve">Colombia. </w:t>
                            </w:r>
                            <w:r w:rsidR="00D96A9E">
                              <w:rPr>
                                <w:rFonts w:asciiTheme="majorHAnsi" w:hAnsiTheme="majorHAnsi"/>
                                <w:color w:val="595959" w:themeColor="text1" w:themeTint="A6"/>
                                <w:sz w:val="18"/>
                              </w:rPr>
                              <w:t>February 3,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584AD038" w:rsidR="00485A3E" w:rsidRPr="003C32BC" w:rsidRDefault="00485A3E"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96A9E">
                        <w:rPr>
                          <w:rFonts w:asciiTheme="majorHAnsi" w:hAnsiTheme="majorHAnsi"/>
                          <w:color w:val="595959" w:themeColor="text1" w:themeTint="A6"/>
                          <w:sz w:val="18"/>
                        </w:rPr>
                        <w:t>7</w:t>
                      </w:r>
                      <w:r>
                        <w:rPr>
                          <w:rFonts w:asciiTheme="majorHAnsi" w:hAnsiTheme="majorHAnsi"/>
                          <w:color w:val="595959" w:themeColor="text1" w:themeTint="A6"/>
                          <w:sz w:val="18"/>
                        </w:rPr>
                        <w:t>/1</w:t>
                      </w:r>
                      <w:r w:rsidR="00D96A9E">
                        <w:rPr>
                          <w:rFonts w:asciiTheme="majorHAnsi" w:hAnsiTheme="majorHAnsi"/>
                          <w:color w:val="595959" w:themeColor="text1" w:themeTint="A6"/>
                          <w:sz w:val="18"/>
                        </w:rPr>
                        <w:t>9</w:t>
                      </w:r>
                      <w:r w:rsidRPr="003C32BC">
                        <w:rPr>
                          <w:rFonts w:asciiTheme="majorHAnsi" w:hAnsiTheme="majorHAnsi"/>
                          <w:color w:val="595959" w:themeColor="text1" w:themeTint="A6"/>
                          <w:sz w:val="18"/>
                        </w:rPr>
                        <w:t xml:space="preserve">, </w:t>
                      </w:r>
                      <w:proofErr w:type="gramStart"/>
                      <w:r>
                        <w:rPr>
                          <w:rFonts w:asciiTheme="majorHAnsi" w:hAnsiTheme="majorHAnsi"/>
                          <w:color w:val="595959" w:themeColor="text1" w:themeTint="A6"/>
                          <w:sz w:val="18"/>
                        </w:rPr>
                        <w:t>Petition</w:t>
                      </w:r>
                      <w:proofErr w:type="gramEnd"/>
                      <w:r>
                        <w:rPr>
                          <w:rFonts w:asciiTheme="majorHAnsi" w:hAnsiTheme="majorHAnsi"/>
                          <w:color w:val="595959" w:themeColor="text1" w:themeTint="A6"/>
                          <w:sz w:val="18"/>
                        </w:rPr>
                        <w:t xml:space="preserve"> 18-07</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7513EE">
                        <w:rPr>
                          <w:rFonts w:asciiTheme="majorHAnsi" w:hAnsiTheme="majorHAnsi"/>
                          <w:color w:val="595959" w:themeColor="text1" w:themeTint="A6"/>
                          <w:sz w:val="18"/>
                          <w:lang w:val="pt-BR"/>
                        </w:rPr>
                        <w:t xml:space="preserve">Admissibility. Bocas de Aracataca Massacre. </w:t>
                      </w:r>
                      <w:r>
                        <w:rPr>
                          <w:rFonts w:asciiTheme="majorHAnsi" w:hAnsiTheme="majorHAnsi"/>
                          <w:color w:val="595959" w:themeColor="text1" w:themeTint="A6"/>
                          <w:sz w:val="18"/>
                        </w:rPr>
                        <w:t xml:space="preserve">Colombia. </w:t>
                      </w:r>
                      <w:r w:rsidR="00D96A9E">
                        <w:rPr>
                          <w:rFonts w:asciiTheme="majorHAnsi" w:hAnsiTheme="majorHAnsi"/>
                          <w:color w:val="595959" w:themeColor="text1" w:themeTint="A6"/>
                          <w:sz w:val="18"/>
                        </w:rPr>
                        <w:t>February 3, 2019.</w:t>
                      </w:r>
                    </w:p>
                  </w:txbxContent>
                </v:textbox>
              </v:shape>
            </w:pict>
          </mc:Fallback>
        </mc:AlternateContent>
      </w:r>
    </w:p>
    <w:p w14:paraId="1C0DAFDE" w14:textId="77777777" w:rsidR="002C1641" w:rsidRPr="00DA1EBD" w:rsidRDefault="002C1641" w:rsidP="00040C3A">
      <w:pPr>
        <w:tabs>
          <w:tab w:val="center" w:pos="5400"/>
        </w:tabs>
        <w:suppressAutoHyphens/>
        <w:jc w:val="center"/>
        <w:rPr>
          <w:rFonts w:asciiTheme="majorHAnsi" w:hAnsiTheme="majorHAnsi"/>
          <w:sz w:val="18"/>
          <w:szCs w:val="22"/>
        </w:rPr>
      </w:pPr>
    </w:p>
    <w:p w14:paraId="5420A6FF" w14:textId="77777777" w:rsidR="002C1641" w:rsidRPr="00DA1EBD" w:rsidRDefault="002C1641" w:rsidP="00040C3A">
      <w:pPr>
        <w:tabs>
          <w:tab w:val="center" w:pos="5400"/>
        </w:tabs>
        <w:suppressAutoHyphens/>
        <w:jc w:val="center"/>
        <w:rPr>
          <w:rFonts w:asciiTheme="majorHAnsi" w:hAnsiTheme="majorHAnsi"/>
          <w:sz w:val="18"/>
          <w:szCs w:val="22"/>
        </w:rPr>
      </w:pPr>
    </w:p>
    <w:p w14:paraId="03B36C31" w14:textId="77777777" w:rsidR="003C32BC" w:rsidRPr="00DA1EBD" w:rsidRDefault="003C32BC" w:rsidP="003C32BC">
      <w:pPr>
        <w:tabs>
          <w:tab w:val="center" w:pos="5400"/>
        </w:tabs>
        <w:suppressAutoHyphens/>
        <w:jc w:val="center"/>
        <w:rPr>
          <w:rFonts w:asciiTheme="majorHAnsi" w:hAnsiTheme="majorHAnsi"/>
          <w:sz w:val="18"/>
          <w:szCs w:val="22"/>
        </w:rPr>
      </w:pPr>
    </w:p>
    <w:p w14:paraId="154A4854" w14:textId="77777777" w:rsidR="003C32BC" w:rsidRPr="00DA1EBD" w:rsidRDefault="006311DA" w:rsidP="003C32BC">
      <w:pPr>
        <w:tabs>
          <w:tab w:val="center" w:pos="5400"/>
        </w:tabs>
        <w:suppressAutoHyphens/>
        <w:jc w:val="center"/>
        <w:rPr>
          <w:rFonts w:asciiTheme="majorHAnsi" w:hAnsiTheme="majorHAnsi"/>
          <w:sz w:val="18"/>
          <w:szCs w:val="22"/>
        </w:rPr>
      </w:pPr>
      <w:r w:rsidRPr="00DA1EBD">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485A3E" w:rsidRPr="004B7EB6" w:rsidRDefault="00485A3E"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485A3E" w:rsidRPr="004B7EB6" w:rsidRDefault="00485A3E"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DA1EBD">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485A3E" w:rsidRDefault="00485A3E">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485A3E" w:rsidRDefault="00485A3E">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DA1EBD" w:rsidRDefault="007607C4" w:rsidP="003C32BC">
      <w:pPr>
        <w:tabs>
          <w:tab w:val="center" w:pos="5400"/>
        </w:tabs>
        <w:suppressAutoHyphens/>
        <w:jc w:val="center"/>
        <w:rPr>
          <w:rFonts w:asciiTheme="majorHAnsi" w:hAnsiTheme="majorHAnsi"/>
          <w:sz w:val="18"/>
          <w:szCs w:val="22"/>
        </w:rPr>
        <w:sectPr w:rsidR="007607C4" w:rsidRPr="00DA1EBD"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DA1EBD" w:rsidRDefault="00F621C3" w:rsidP="00F621C3">
      <w:pPr>
        <w:spacing w:after="240"/>
        <w:ind w:firstLine="720"/>
        <w:jc w:val="both"/>
        <w:rPr>
          <w:rFonts w:asciiTheme="majorHAnsi" w:hAnsiTheme="majorHAnsi"/>
          <w:b/>
          <w:bCs/>
          <w:sz w:val="20"/>
          <w:szCs w:val="20"/>
        </w:rPr>
      </w:pPr>
      <w:r w:rsidRPr="00DA1EBD">
        <w:rPr>
          <w:rFonts w:asciiTheme="majorHAnsi" w:hAnsiTheme="majorHAnsi"/>
          <w:b/>
          <w:bCs/>
          <w:sz w:val="20"/>
          <w:szCs w:val="20"/>
        </w:rPr>
        <w:lastRenderedPageBreak/>
        <w:t>I.</w:t>
      </w:r>
      <w:r w:rsidRPr="00DA1EBD">
        <w:rPr>
          <w:rFonts w:asciiTheme="majorHAnsi" w:hAnsiTheme="majorHAnsi"/>
          <w:b/>
          <w:bCs/>
          <w:sz w:val="20"/>
          <w:szCs w:val="20"/>
        </w:rPr>
        <w:tab/>
      </w:r>
      <w:r w:rsidR="00592718" w:rsidRPr="00DA1EBD">
        <w:rPr>
          <w:rFonts w:asciiTheme="majorHAnsi" w:hAnsiTheme="majorHAnsi"/>
          <w:b/>
          <w:bCs/>
          <w:sz w:val="20"/>
          <w:szCs w:val="20"/>
        </w:rPr>
        <w:t>INFORMATION ABOUT THE PETITION</w:t>
      </w:r>
      <w:r w:rsidRPr="00DA1EBD">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3E48C3"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DA1EBD" w:rsidRDefault="003771A3" w:rsidP="00F45922">
            <w:pPr>
              <w:jc w:val="center"/>
              <w:rPr>
                <w:rFonts w:ascii="Cambria" w:hAnsi="Cambria"/>
                <w:b/>
                <w:bCs/>
                <w:color w:val="FFFFFF" w:themeColor="background1"/>
                <w:sz w:val="20"/>
                <w:szCs w:val="20"/>
              </w:rPr>
            </w:pPr>
            <w:r w:rsidRPr="00DA1EBD">
              <w:rPr>
                <w:rFonts w:ascii="Cambria" w:hAnsi="Cambria"/>
                <w:b/>
                <w:bCs/>
                <w:color w:val="FFFFFF" w:themeColor="background1"/>
                <w:sz w:val="20"/>
                <w:szCs w:val="20"/>
              </w:rPr>
              <w:t>Petitioner</w:t>
            </w:r>
            <w:r w:rsidR="00F621C3" w:rsidRPr="00DA1EBD">
              <w:rPr>
                <w:rFonts w:ascii="Cambria" w:hAnsi="Cambria"/>
                <w:b/>
                <w:bCs/>
                <w:color w:val="FFFFFF" w:themeColor="background1"/>
                <w:sz w:val="20"/>
                <w:szCs w:val="20"/>
              </w:rPr>
              <w:t>:</w:t>
            </w:r>
          </w:p>
        </w:tc>
        <w:tc>
          <w:tcPr>
            <w:tcW w:w="5670" w:type="dxa"/>
            <w:vAlign w:val="center"/>
          </w:tcPr>
          <w:p w14:paraId="0674C7B8" w14:textId="6F5B019D" w:rsidR="00F621C3" w:rsidRPr="007513EE" w:rsidRDefault="00F45922" w:rsidP="00F45922">
            <w:pPr>
              <w:jc w:val="both"/>
              <w:rPr>
                <w:rFonts w:ascii="Cambria" w:hAnsi="Cambria"/>
                <w:bCs/>
                <w:sz w:val="20"/>
                <w:szCs w:val="20"/>
                <w:lang w:val="fr-CA"/>
              </w:rPr>
            </w:pPr>
            <w:r w:rsidRPr="007513EE">
              <w:rPr>
                <w:rFonts w:asciiTheme="majorHAnsi" w:hAnsiTheme="majorHAnsi"/>
                <w:bCs/>
                <w:sz w:val="20"/>
                <w:szCs w:val="20"/>
                <w:lang w:val="fr-CA"/>
              </w:rPr>
              <w:t>Nelson Javier de Lavalle Restrepo</w:t>
            </w:r>
          </w:p>
        </w:tc>
      </w:tr>
      <w:tr w:rsidR="00F621C3" w:rsidRPr="003E48C3"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DA1EBD" w:rsidRDefault="00145145" w:rsidP="00F45922">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DA1EBD">
                  <w:rPr>
                    <w:rFonts w:ascii="Cambria" w:hAnsi="Cambria"/>
                    <w:b/>
                    <w:bCs/>
                    <w:color w:val="FFFFFF" w:themeColor="background1"/>
                    <w:sz w:val="20"/>
                    <w:szCs w:val="20"/>
                  </w:rPr>
                  <w:t>Alleged victim</w:t>
                </w:r>
              </w:sdtContent>
            </w:sdt>
            <w:r w:rsidR="00F621C3" w:rsidRPr="00DA1EBD">
              <w:rPr>
                <w:rFonts w:ascii="Cambria" w:hAnsi="Cambria"/>
                <w:b/>
                <w:bCs/>
                <w:color w:val="FFFFFF" w:themeColor="background1"/>
                <w:sz w:val="20"/>
                <w:szCs w:val="20"/>
              </w:rPr>
              <w:t>:</w:t>
            </w:r>
          </w:p>
        </w:tc>
        <w:tc>
          <w:tcPr>
            <w:tcW w:w="5670" w:type="dxa"/>
            <w:vAlign w:val="center"/>
          </w:tcPr>
          <w:p w14:paraId="60895337" w14:textId="5416CE16" w:rsidR="00F621C3" w:rsidRPr="003E48C3" w:rsidRDefault="007513EE" w:rsidP="00F45922">
            <w:pPr>
              <w:jc w:val="both"/>
              <w:rPr>
                <w:rFonts w:ascii="Cambria" w:hAnsi="Cambria"/>
                <w:bCs/>
                <w:sz w:val="20"/>
                <w:szCs w:val="20"/>
                <w:lang w:val="es-US"/>
              </w:rPr>
            </w:pPr>
            <w:r w:rsidRPr="003E48C3">
              <w:rPr>
                <w:rFonts w:ascii="Cambria" w:hAnsi="Cambria"/>
                <w:bCs/>
                <w:sz w:val="20"/>
                <w:szCs w:val="20"/>
                <w:lang w:val="es-US"/>
              </w:rPr>
              <w:t>H</w:t>
            </w:r>
            <w:r w:rsidR="00F45922" w:rsidRPr="003E48C3">
              <w:rPr>
                <w:rFonts w:ascii="Cambria" w:hAnsi="Cambria"/>
                <w:bCs/>
                <w:sz w:val="20"/>
                <w:szCs w:val="20"/>
                <w:lang w:val="es-US"/>
              </w:rPr>
              <w:t>abitants of the Bocas de Aracataca District</w:t>
            </w:r>
            <w:r w:rsidR="00F45922" w:rsidRPr="00DA1EBD">
              <w:rPr>
                <w:rStyle w:val="FootnoteReference"/>
                <w:rFonts w:asciiTheme="majorHAnsi" w:hAnsiTheme="majorHAnsi"/>
                <w:bCs/>
                <w:sz w:val="19"/>
                <w:szCs w:val="19"/>
              </w:rPr>
              <w:footnoteReference w:id="2"/>
            </w:r>
          </w:p>
        </w:tc>
      </w:tr>
      <w:tr w:rsidR="00F621C3" w:rsidRPr="00DA1EBD"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DA1EBD" w:rsidRDefault="005816E5" w:rsidP="005816E5">
            <w:pPr>
              <w:jc w:val="center"/>
              <w:rPr>
                <w:rFonts w:ascii="Cambria" w:hAnsi="Cambria"/>
                <w:b/>
                <w:bCs/>
                <w:color w:val="FFFFFF" w:themeColor="background1"/>
                <w:sz w:val="20"/>
                <w:szCs w:val="20"/>
              </w:rPr>
            </w:pPr>
            <w:r w:rsidRPr="00DA1EBD">
              <w:rPr>
                <w:rFonts w:ascii="Cambria" w:hAnsi="Cambria"/>
                <w:b/>
                <w:bCs/>
                <w:color w:val="FFFFFF" w:themeColor="background1"/>
                <w:sz w:val="20"/>
                <w:szCs w:val="20"/>
              </w:rPr>
              <w:t xml:space="preserve">Respondent </w:t>
            </w:r>
            <w:r w:rsidR="00F621C3" w:rsidRPr="00DA1EBD">
              <w:rPr>
                <w:rFonts w:ascii="Cambria" w:hAnsi="Cambria"/>
                <w:b/>
                <w:bCs/>
                <w:color w:val="FFFFFF" w:themeColor="background1"/>
                <w:sz w:val="20"/>
                <w:szCs w:val="20"/>
              </w:rPr>
              <w:t>State:</w:t>
            </w:r>
          </w:p>
        </w:tc>
        <w:tc>
          <w:tcPr>
            <w:tcW w:w="5670" w:type="dxa"/>
            <w:vAlign w:val="center"/>
          </w:tcPr>
          <w:p w14:paraId="3539D391" w14:textId="2B50BB60" w:rsidR="00F621C3" w:rsidRPr="00DA1EBD" w:rsidRDefault="00F45922" w:rsidP="00F45922">
            <w:pPr>
              <w:jc w:val="both"/>
              <w:rPr>
                <w:rFonts w:ascii="Cambria" w:hAnsi="Cambria"/>
                <w:bCs/>
                <w:sz w:val="20"/>
                <w:szCs w:val="20"/>
              </w:rPr>
            </w:pPr>
            <w:r w:rsidRPr="007513EE">
              <w:rPr>
                <w:rFonts w:asciiTheme="majorHAnsi" w:hAnsiTheme="majorHAnsi"/>
                <w:bCs/>
                <w:sz w:val="20"/>
                <w:szCs w:val="20"/>
              </w:rPr>
              <w:t>Colombia</w:t>
            </w:r>
            <w:r w:rsidRPr="00DA1EBD">
              <w:rPr>
                <w:rStyle w:val="FootnoteReference"/>
                <w:rFonts w:asciiTheme="majorHAnsi" w:hAnsiTheme="majorHAnsi"/>
                <w:bCs/>
                <w:sz w:val="19"/>
                <w:szCs w:val="19"/>
              </w:rPr>
              <w:footnoteReference w:id="3"/>
            </w:r>
          </w:p>
        </w:tc>
      </w:tr>
      <w:tr w:rsidR="00E47F3D" w:rsidRPr="00DA1EBD"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DA1EBD" w:rsidRDefault="00E47F3D" w:rsidP="00E7588C">
            <w:pPr>
              <w:jc w:val="center"/>
              <w:rPr>
                <w:rFonts w:ascii="Cambria" w:hAnsi="Cambria"/>
                <w:b/>
                <w:bCs/>
                <w:color w:val="FFFFFF" w:themeColor="background1"/>
                <w:sz w:val="20"/>
                <w:szCs w:val="20"/>
              </w:rPr>
            </w:pPr>
            <w:r w:rsidRPr="00DA1EBD">
              <w:rPr>
                <w:rFonts w:ascii="Cambria" w:hAnsi="Cambria"/>
                <w:b/>
                <w:bCs/>
                <w:color w:val="FFFFFF" w:themeColor="background1"/>
                <w:sz w:val="20"/>
                <w:szCs w:val="20"/>
              </w:rPr>
              <w:t xml:space="preserve">Rights </w:t>
            </w:r>
            <w:r w:rsidR="00E7588C" w:rsidRPr="00DA1EBD">
              <w:rPr>
                <w:rFonts w:ascii="Cambria" w:hAnsi="Cambria"/>
                <w:b/>
                <w:bCs/>
                <w:color w:val="FFFFFF" w:themeColor="background1"/>
                <w:sz w:val="20"/>
                <w:szCs w:val="20"/>
              </w:rPr>
              <w:t>invoked:</w:t>
            </w:r>
          </w:p>
        </w:tc>
        <w:tc>
          <w:tcPr>
            <w:tcW w:w="5670" w:type="dxa"/>
            <w:vAlign w:val="center"/>
          </w:tcPr>
          <w:p w14:paraId="51EEF9D2" w14:textId="148ACE80" w:rsidR="00E47F3D" w:rsidRPr="00DA1EBD" w:rsidRDefault="00390935" w:rsidP="008A3640">
            <w:pPr>
              <w:jc w:val="both"/>
              <w:rPr>
                <w:rFonts w:ascii="Cambria" w:hAnsi="Cambria"/>
                <w:bCs/>
                <w:sz w:val="20"/>
                <w:szCs w:val="20"/>
              </w:rPr>
            </w:pPr>
            <w:r w:rsidRPr="00DA1EBD">
              <w:rPr>
                <w:rFonts w:ascii="Cambria" w:hAnsi="Cambria"/>
                <w:bCs/>
                <w:sz w:val="20"/>
                <w:szCs w:val="20"/>
              </w:rPr>
              <w:t>Articles 4 (life), 5 (humane treatment), 8 (fair trial), 17 (rights of the family), 19, (rights of the child), 21 (property), 22 (freedom of movement and residence), 24 (equal protection), 25 (judicial protection) and 27 (suspension of guarantees) in relation to Article 1 (obligation to respect rights) of the American Convention on Human Rights,</w:t>
            </w:r>
            <w:r w:rsidRPr="00DA1EBD">
              <w:rPr>
                <w:rStyle w:val="FootnoteReference"/>
                <w:rFonts w:asciiTheme="majorHAnsi" w:hAnsiTheme="majorHAnsi"/>
                <w:bCs/>
                <w:sz w:val="19"/>
                <w:szCs w:val="19"/>
              </w:rPr>
              <w:footnoteReference w:id="4"/>
            </w:r>
            <w:r w:rsidRPr="00DA1EBD">
              <w:rPr>
                <w:rFonts w:ascii="Cambria" w:hAnsi="Cambria"/>
                <w:bCs/>
                <w:sz w:val="20"/>
                <w:szCs w:val="20"/>
              </w:rPr>
              <w:t xml:space="preserve"> and Articles 1, 6 and 8 of the Inter-American Convention to Prevent and Punish Torture.</w:t>
            </w:r>
            <w:r w:rsidRPr="00DA1EBD">
              <w:rPr>
                <w:rStyle w:val="FootnoteReference"/>
                <w:rFonts w:asciiTheme="majorHAnsi" w:hAnsiTheme="majorHAnsi"/>
                <w:bCs/>
                <w:sz w:val="19"/>
                <w:szCs w:val="19"/>
              </w:rPr>
              <w:footnoteReference w:id="5"/>
            </w:r>
          </w:p>
        </w:tc>
      </w:tr>
    </w:tbl>
    <w:p w14:paraId="006E8D49" w14:textId="1C646C41" w:rsidR="00F621C3" w:rsidRPr="00DA1EBD" w:rsidRDefault="00F621C3" w:rsidP="00F621C3">
      <w:pPr>
        <w:spacing w:before="240" w:after="240"/>
        <w:ind w:firstLine="720"/>
        <w:jc w:val="both"/>
        <w:rPr>
          <w:rFonts w:asciiTheme="majorHAnsi" w:hAnsiTheme="majorHAnsi"/>
          <w:b/>
          <w:bCs/>
          <w:sz w:val="20"/>
          <w:szCs w:val="20"/>
        </w:rPr>
      </w:pPr>
      <w:r w:rsidRPr="00DA1EBD">
        <w:rPr>
          <w:rFonts w:asciiTheme="majorHAnsi" w:hAnsiTheme="majorHAnsi"/>
          <w:b/>
          <w:bCs/>
          <w:sz w:val="20"/>
          <w:szCs w:val="20"/>
        </w:rPr>
        <w:t>II.</w:t>
      </w:r>
      <w:r w:rsidRPr="00DA1EBD">
        <w:rPr>
          <w:rFonts w:asciiTheme="majorHAnsi" w:hAnsiTheme="majorHAnsi"/>
          <w:b/>
          <w:bCs/>
          <w:sz w:val="20"/>
          <w:szCs w:val="20"/>
        </w:rPr>
        <w:tab/>
        <w:t>PROCE</w:t>
      </w:r>
      <w:r w:rsidR="00321AFD" w:rsidRPr="00DA1EBD">
        <w:rPr>
          <w:rFonts w:asciiTheme="majorHAnsi" w:hAnsiTheme="majorHAnsi"/>
          <w:b/>
          <w:bCs/>
          <w:sz w:val="20"/>
          <w:szCs w:val="20"/>
        </w:rPr>
        <w:t>EDINGS</w:t>
      </w:r>
      <w:r w:rsidRPr="00DA1EBD">
        <w:rPr>
          <w:rFonts w:asciiTheme="majorHAnsi" w:hAnsiTheme="majorHAnsi"/>
          <w:b/>
          <w:bCs/>
          <w:sz w:val="20"/>
          <w:szCs w:val="20"/>
        </w:rPr>
        <w:t xml:space="preserve"> BEFORE THE IACHR</w:t>
      </w:r>
      <w:r w:rsidR="00653EA6" w:rsidRPr="00DA1EBD">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DA1EBD"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DA1EBD" w:rsidRDefault="00B06BB7" w:rsidP="00B06BB7">
            <w:pPr>
              <w:jc w:val="center"/>
              <w:rPr>
                <w:rFonts w:ascii="Cambria" w:hAnsi="Cambria"/>
                <w:b/>
                <w:bCs/>
                <w:color w:val="FFFFFF" w:themeColor="background1"/>
                <w:sz w:val="20"/>
                <w:szCs w:val="20"/>
              </w:rPr>
            </w:pPr>
            <w:r w:rsidRPr="00DA1EBD">
              <w:rPr>
                <w:rFonts w:ascii="Cambria" w:hAnsi="Cambria"/>
                <w:b/>
                <w:bCs/>
                <w:color w:val="FFFFFF" w:themeColor="background1"/>
                <w:sz w:val="20"/>
                <w:szCs w:val="20"/>
              </w:rPr>
              <w:t>Filing of the petition</w:t>
            </w:r>
            <w:r w:rsidR="00F621C3" w:rsidRPr="00DA1EBD">
              <w:rPr>
                <w:rFonts w:ascii="Cambria" w:hAnsi="Cambria"/>
                <w:b/>
                <w:bCs/>
                <w:color w:val="FFFFFF" w:themeColor="background1"/>
                <w:sz w:val="20"/>
                <w:szCs w:val="20"/>
              </w:rPr>
              <w:t>:</w:t>
            </w:r>
          </w:p>
        </w:tc>
        <w:tc>
          <w:tcPr>
            <w:tcW w:w="5670" w:type="dxa"/>
            <w:vAlign w:val="center"/>
          </w:tcPr>
          <w:p w14:paraId="1C0C3DE2" w14:textId="6EDF34B3" w:rsidR="00F621C3" w:rsidRPr="00DA1EBD" w:rsidRDefault="00390935" w:rsidP="00F45922">
            <w:pPr>
              <w:jc w:val="both"/>
              <w:rPr>
                <w:rFonts w:ascii="Cambria" w:hAnsi="Cambria"/>
                <w:bCs/>
                <w:sz w:val="20"/>
                <w:szCs w:val="20"/>
              </w:rPr>
            </w:pPr>
            <w:r w:rsidRPr="00DA1EBD">
              <w:rPr>
                <w:rFonts w:ascii="Cambria" w:hAnsi="Cambria"/>
                <w:bCs/>
                <w:sz w:val="20"/>
                <w:szCs w:val="20"/>
              </w:rPr>
              <w:t>January 8, 2007</w:t>
            </w:r>
          </w:p>
        </w:tc>
      </w:tr>
      <w:tr w:rsidR="00F621C3" w:rsidRPr="00DA1EBD"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DA1EBD" w:rsidRDefault="00F621C3" w:rsidP="003771A3">
            <w:pPr>
              <w:jc w:val="center"/>
              <w:rPr>
                <w:rFonts w:ascii="Cambria" w:hAnsi="Cambria"/>
                <w:b/>
                <w:color w:val="FFFFFF" w:themeColor="background1"/>
                <w:sz w:val="20"/>
                <w:szCs w:val="20"/>
              </w:rPr>
            </w:pPr>
            <w:r w:rsidRPr="00DA1EBD">
              <w:rPr>
                <w:rFonts w:ascii="Cambria" w:hAnsi="Cambria"/>
                <w:b/>
                <w:color w:val="FFFFFF" w:themeColor="background1"/>
                <w:sz w:val="20"/>
                <w:szCs w:val="20"/>
              </w:rPr>
              <w:t xml:space="preserve">Additional information received at the </w:t>
            </w:r>
            <w:r w:rsidR="003771A3" w:rsidRPr="00DA1EBD">
              <w:rPr>
                <w:rFonts w:ascii="Cambria" w:hAnsi="Cambria"/>
                <w:b/>
                <w:color w:val="FFFFFF" w:themeColor="background1"/>
                <w:sz w:val="20"/>
                <w:szCs w:val="20"/>
              </w:rPr>
              <w:t>s</w:t>
            </w:r>
            <w:r w:rsidRPr="00DA1EBD">
              <w:rPr>
                <w:rFonts w:ascii="Cambria" w:hAnsi="Cambria"/>
                <w:b/>
                <w:color w:val="FFFFFF" w:themeColor="background1"/>
                <w:sz w:val="20"/>
                <w:szCs w:val="20"/>
              </w:rPr>
              <w:t>tage</w:t>
            </w:r>
            <w:r w:rsidR="003771A3" w:rsidRPr="00DA1EBD">
              <w:rPr>
                <w:rFonts w:ascii="Cambria" w:hAnsi="Cambria"/>
                <w:b/>
                <w:color w:val="FFFFFF" w:themeColor="background1"/>
                <w:sz w:val="20"/>
                <w:szCs w:val="20"/>
              </w:rPr>
              <w:t xml:space="preserve"> of initial review</w:t>
            </w:r>
            <w:r w:rsidRPr="00DA1EBD">
              <w:rPr>
                <w:rFonts w:ascii="Cambria" w:hAnsi="Cambria"/>
                <w:b/>
                <w:color w:val="FFFFFF" w:themeColor="background1"/>
                <w:sz w:val="20"/>
                <w:szCs w:val="20"/>
              </w:rPr>
              <w:t>:</w:t>
            </w:r>
          </w:p>
        </w:tc>
        <w:tc>
          <w:tcPr>
            <w:tcW w:w="5670" w:type="dxa"/>
            <w:vAlign w:val="center"/>
          </w:tcPr>
          <w:p w14:paraId="499B90CB" w14:textId="72C679F9" w:rsidR="00F621C3" w:rsidRPr="00DA1EBD" w:rsidRDefault="00390935" w:rsidP="00F45922">
            <w:pPr>
              <w:jc w:val="both"/>
              <w:rPr>
                <w:rFonts w:ascii="Cambria" w:hAnsi="Cambria"/>
                <w:bCs/>
                <w:sz w:val="20"/>
                <w:szCs w:val="20"/>
              </w:rPr>
            </w:pPr>
            <w:r w:rsidRPr="00DA1EBD">
              <w:rPr>
                <w:rFonts w:ascii="Cambria" w:hAnsi="Cambria"/>
                <w:bCs/>
                <w:sz w:val="20"/>
                <w:szCs w:val="20"/>
              </w:rPr>
              <w:t>November 27, 2007, April 20, 2009</w:t>
            </w:r>
            <w:r w:rsidR="00123E1D" w:rsidRPr="00DA1EBD">
              <w:rPr>
                <w:rFonts w:ascii="Cambria" w:hAnsi="Cambria"/>
                <w:bCs/>
                <w:sz w:val="20"/>
                <w:szCs w:val="20"/>
              </w:rPr>
              <w:t>,</w:t>
            </w:r>
            <w:r w:rsidRPr="00DA1EBD">
              <w:rPr>
                <w:rFonts w:ascii="Cambria" w:hAnsi="Cambria"/>
                <w:bCs/>
                <w:sz w:val="20"/>
                <w:szCs w:val="20"/>
              </w:rPr>
              <w:t xml:space="preserve"> and September 7, 2010</w:t>
            </w:r>
          </w:p>
        </w:tc>
      </w:tr>
      <w:tr w:rsidR="00F621C3" w:rsidRPr="00DA1EBD"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DA1EBD" w:rsidRDefault="00B06BB7" w:rsidP="00B06BB7">
            <w:pPr>
              <w:jc w:val="center"/>
              <w:rPr>
                <w:rFonts w:ascii="Cambria" w:hAnsi="Cambria"/>
                <w:b/>
                <w:bCs/>
                <w:color w:val="FFFFFF" w:themeColor="background1"/>
                <w:sz w:val="20"/>
                <w:szCs w:val="20"/>
              </w:rPr>
            </w:pPr>
            <w:r w:rsidRPr="00DA1EBD">
              <w:rPr>
                <w:rFonts w:ascii="Cambria" w:hAnsi="Cambria"/>
                <w:b/>
                <w:color w:val="FFFFFF" w:themeColor="background1"/>
                <w:sz w:val="20"/>
                <w:szCs w:val="20"/>
              </w:rPr>
              <w:t>Notification of the petition to</w:t>
            </w:r>
            <w:r w:rsidR="00F621C3" w:rsidRPr="00DA1EBD">
              <w:rPr>
                <w:rFonts w:ascii="Cambria" w:hAnsi="Cambria"/>
                <w:b/>
                <w:color w:val="FFFFFF" w:themeColor="background1"/>
                <w:sz w:val="20"/>
                <w:szCs w:val="20"/>
              </w:rPr>
              <w:t xml:space="preserve"> the State:</w:t>
            </w:r>
          </w:p>
        </w:tc>
        <w:tc>
          <w:tcPr>
            <w:tcW w:w="5670" w:type="dxa"/>
            <w:vAlign w:val="center"/>
          </w:tcPr>
          <w:p w14:paraId="22ADBFFE" w14:textId="7EA0654C" w:rsidR="00F621C3" w:rsidRPr="00DA1EBD" w:rsidRDefault="007D0305" w:rsidP="00F45922">
            <w:pPr>
              <w:jc w:val="both"/>
              <w:rPr>
                <w:rFonts w:ascii="Cambria" w:hAnsi="Cambria"/>
                <w:bCs/>
                <w:sz w:val="20"/>
                <w:szCs w:val="20"/>
              </w:rPr>
            </w:pPr>
            <w:r w:rsidRPr="00DA1EBD">
              <w:rPr>
                <w:rFonts w:ascii="Cambria" w:hAnsi="Cambria"/>
                <w:bCs/>
                <w:sz w:val="20"/>
                <w:szCs w:val="20"/>
              </w:rPr>
              <w:t>May 26, 2011</w:t>
            </w:r>
          </w:p>
        </w:tc>
      </w:tr>
      <w:tr w:rsidR="00F621C3" w:rsidRPr="00DA1EBD"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DA1EBD" w:rsidRDefault="00F621C3" w:rsidP="00F45922">
            <w:pPr>
              <w:jc w:val="center"/>
              <w:rPr>
                <w:rFonts w:ascii="Cambria" w:hAnsi="Cambria"/>
                <w:b/>
                <w:bCs/>
                <w:color w:val="FFFFFF" w:themeColor="background1"/>
                <w:sz w:val="20"/>
                <w:szCs w:val="20"/>
              </w:rPr>
            </w:pPr>
            <w:r w:rsidRPr="00DA1EBD">
              <w:rPr>
                <w:rFonts w:ascii="Cambria" w:hAnsi="Cambria"/>
                <w:b/>
                <w:color w:val="FFFFFF" w:themeColor="background1"/>
                <w:sz w:val="20"/>
                <w:szCs w:val="20"/>
              </w:rPr>
              <w:t>State’s first response:</w:t>
            </w:r>
          </w:p>
        </w:tc>
        <w:tc>
          <w:tcPr>
            <w:tcW w:w="5670" w:type="dxa"/>
            <w:vAlign w:val="center"/>
          </w:tcPr>
          <w:p w14:paraId="19C5DA57" w14:textId="6A5B144A" w:rsidR="00F621C3" w:rsidRPr="00DA1EBD" w:rsidRDefault="007D0305" w:rsidP="00F45922">
            <w:pPr>
              <w:jc w:val="both"/>
              <w:rPr>
                <w:rFonts w:ascii="Cambria" w:hAnsi="Cambria"/>
                <w:bCs/>
                <w:sz w:val="20"/>
                <w:szCs w:val="20"/>
              </w:rPr>
            </w:pPr>
            <w:r w:rsidRPr="00DA1EBD">
              <w:rPr>
                <w:rFonts w:ascii="Cambria" w:hAnsi="Cambria"/>
                <w:bCs/>
                <w:sz w:val="20"/>
                <w:szCs w:val="20"/>
              </w:rPr>
              <w:t>March 1, 2016</w:t>
            </w:r>
          </w:p>
        </w:tc>
      </w:tr>
      <w:tr w:rsidR="003771A3" w:rsidRPr="00DA1EBD"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DA1EBD" w:rsidRDefault="003771A3" w:rsidP="0023351C">
            <w:pPr>
              <w:jc w:val="center"/>
              <w:rPr>
                <w:rFonts w:ascii="Cambria" w:hAnsi="Cambria"/>
                <w:b/>
                <w:bCs/>
                <w:color w:val="FFFFFF" w:themeColor="background1"/>
                <w:sz w:val="20"/>
                <w:szCs w:val="20"/>
              </w:rPr>
            </w:pPr>
            <w:r w:rsidRPr="00DA1EBD">
              <w:rPr>
                <w:rFonts w:ascii="Cambria" w:hAnsi="Cambria"/>
                <w:b/>
                <w:bCs/>
                <w:color w:val="FFFFFF" w:themeColor="background1"/>
                <w:sz w:val="20"/>
                <w:szCs w:val="20"/>
              </w:rPr>
              <w:t>Additional observations from the petition</w:t>
            </w:r>
            <w:r w:rsidR="0023351C" w:rsidRPr="00DA1EBD">
              <w:rPr>
                <w:rFonts w:ascii="Cambria" w:hAnsi="Cambria"/>
                <w:b/>
                <w:bCs/>
                <w:color w:val="FFFFFF" w:themeColor="background1"/>
                <w:sz w:val="20"/>
                <w:szCs w:val="20"/>
              </w:rPr>
              <w:t>er</w:t>
            </w:r>
            <w:r w:rsidRPr="00DA1EBD">
              <w:rPr>
                <w:rFonts w:ascii="Cambria" w:hAnsi="Cambria"/>
                <w:b/>
                <w:bCs/>
                <w:color w:val="FFFFFF" w:themeColor="background1"/>
                <w:sz w:val="20"/>
                <w:szCs w:val="20"/>
              </w:rPr>
              <w:t>:</w:t>
            </w:r>
          </w:p>
        </w:tc>
        <w:tc>
          <w:tcPr>
            <w:tcW w:w="5670" w:type="dxa"/>
            <w:vAlign w:val="center"/>
          </w:tcPr>
          <w:p w14:paraId="2A863ACD" w14:textId="2C6DE71F" w:rsidR="003771A3" w:rsidRPr="00DA1EBD" w:rsidRDefault="007D0305" w:rsidP="00F45922">
            <w:pPr>
              <w:jc w:val="both"/>
              <w:rPr>
                <w:rFonts w:ascii="Cambria" w:hAnsi="Cambria"/>
                <w:bCs/>
                <w:sz w:val="20"/>
                <w:szCs w:val="20"/>
              </w:rPr>
            </w:pPr>
            <w:r w:rsidRPr="00DA1EBD">
              <w:rPr>
                <w:rFonts w:ascii="Cambria" w:hAnsi="Cambria"/>
                <w:bCs/>
                <w:sz w:val="20"/>
                <w:szCs w:val="20"/>
              </w:rPr>
              <w:t>July 9, July 11, July 22, and December 5, 2011; March 26, 2018</w:t>
            </w:r>
          </w:p>
        </w:tc>
      </w:tr>
      <w:tr w:rsidR="003771A3" w:rsidRPr="00DA1EBD"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DA1EBD" w:rsidRDefault="003771A3" w:rsidP="00653EA6">
            <w:pPr>
              <w:jc w:val="center"/>
              <w:rPr>
                <w:rFonts w:ascii="Cambria" w:hAnsi="Cambria"/>
                <w:b/>
                <w:bCs/>
                <w:color w:val="FFFFFF" w:themeColor="background1"/>
                <w:sz w:val="20"/>
                <w:szCs w:val="20"/>
              </w:rPr>
            </w:pPr>
            <w:r w:rsidRPr="00DA1EBD">
              <w:rPr>
                <w:rFonts w:ascii="Cambria" w:hAnsi="Cambria"/>
                <w:b/>
                <w:bCs/>
                <w:color w:val="FFFFFF" w:themeColor="background1"/>
                <w:sz w:val="20"/>
                <w:szCs w:val="20"/>
              </w:rPr>
              <w:t>Additional observations from the State:</w:t>
            </w:r>
          </w:p>
        </w:tc>
        <w:tc>
          <w:tcPr>
            <w:tcW w:w="5670" w:type="dxa"/>
            <w:vAlign w:val="center"/>
          </w:tcPr>
          <w:p w14:paraId="27F6ADE3" w14:textId="3B841EF8" w:rsidR="003771A3" w:rsidRPr="00DA1EBD" w:rsidRDefault="007D0305" w:rsidP="00F45922">
            <w:pPr>
              <w:jc w:val="both"/>
              <w:rPr>
                <w:rFonts w:ascii="Cambria" w:hAnsi="Cambria"/>
                <w:bCs/>
                <w:sz w:val="20"/>
                <w:szCs w:val="20"/>
              </w:rPr>
            </w:pPr>
            <w:r w:rsidRPr="00DA1EBD">
              <w:rPr>
                <w:rFonts w:ascii="Cambria" w:hAnsi="Cambria"/>
                <w:bCs/>
                <w:sz w:val="20"/>
                <w:szCs w:val="20"/>
              </w:rPr>
              <w:t>March 27, 2015</w:t>
            </w:r>
          </w:p>
        </w:tc>
      </w:tr>
      <w:tr w:rsidR="003771A3" w:rsidRPr="00DA1EBD" w14:paraId="718737D9" w14:textId="77777777" w:rsidTr="00B06BB7">
        <w:tc>
          <w:tcPr>
            <w:tcW w:w="3690" w:type="dxa"/>
            <w:tcBorders>
              <w:top w:val="single" w:sz="6" w:space="0" w:color="auto"/>
              <w:bottom w:val="single" w:sz="6" w:space="0" w:color="auto"/>
            </w:tcBorders>
            <w:shd w:val="clear" w:color="auto" w:fill="67AE3C"/>
            <w:vAlign w:val="center"/>
          </w:tcPr>
          <w:p w14:paraId="2F925819" w14:textId="25BD6B09" w:rsidR="003771A3" w:rsidRPr="00DA1EBD" w:rsidRDefault="00B06BB7" w:rsidP="00D75084">
            <w:pPr>
              <w:jc w:val="center"/>
              <w:rPr>
                <w:rFonts w:ascii="Cambria" w:hAnsi="Cambria"/>
                <w:b/>
                <w:bCs/>
                <w:color w:val="FFFFFF" w:themeColor="background1"/>
                <w:sz w:val="20"/>
                <w:szCs w:val="20"/>
              </w:rPr>
            </w:pPr>
            <w:r w:rsidRPr="00DA1EBD">
              <w:rPr>
                <w:rFonts w:ascii="Cambria" w:hAnsi="Cambria"/>
                <w:b/>
                <w:bCs/>
                <w:color w:val="FFFFFF" w:themeColor="background1"/>
                <w:sz w:val="20"/>
                <w:szCs w:val="20"/>
              </w:rPr>
              <w:t>Notification</w:t>
            </w:r>
            <w:r w:rsidR="003771A3" w:rsidRPr="00DA1EBD">
              <w:rPr>
                <w:rFonts w:ascii="Cambria" w:hAnsi="Cambria"/>
                <w:b/>
                <w:bCs/>
                <w:color w:val="FFFFFF" w:themeColor="background1"/>
                <w:sz w:val="20"/>
                <w:szCs w:val="20"/>
              </w:rPr>
              <w:t xml:space="preserve"> of the possible archiving of the petition:</w:t>
            </w:r>
          </w:p>
        </w:tc>
        <w:tc>
          <w:tcPr>
            <w:tcW w:w="5670" w:type="dxa"/>
            <w:vAlign w:val="center"/>
          </w:tcPr>
          <w:p w14:paraId="1C4A82C3" w14:textId="5D284EA9" w:rsidR="003771A3" w:rsidRPr="00DA1EBD" w:rsidRDefault="007D0305" w:rsidP="00F45922">
            <w:pPr>
              <w:jc w:val="both"/>
              <w:rPr>
                <w:rFonts w:ascii="Cambria" w:hAnsi="Cambria"/>
                <w:bCs/>
                <w:sz w:val="20"/>
                <w:szCs w:val="20"/>
              </w:rPr>
            </w:pPr>
            <w:r w:rsidRPr="00DA1EBD">
              <w:rPr>
                <w:rFonts w:ascii="Cambria" w:hAnsi="Cambria"/>
                <w:bCs/>
                <w:sz w:val="20"/>
                <w:szCs w:val="20"/>
              </w:rPr>
              <w:t>March 23, 2017</w:t>
            </w:r>
          </w:p>
        </w:tc>
      </w:tr>
      <w:tr w:rsidR="003771A3" w:rsidRPr="00DA1EBD" w14:paraId="09808A81" w14:textId="77777777" w:rsidTr="00B06BB7">
        <w:tc>
          <w:tcPr>
            <w:tcW w:w="3690" w:type="dxa"/>
            <w:tcBorders>
              <w:top w:val="single" w:sz="6" w:space="0" w:color="auto"/>
              <w:bottom w:val="single" w:sz="6" w:space="0" w:color="auto"/>
            </w:tcBorders>
            <w:shd w:val="clear" w:color="auto" w:fill="67AE3C"/>
            <w:vAlign w:val="center"/>
          </w:tcPr>
          <w:p w14:paraId="49BCEA0B" w14:textId="18455F02" w:rsidR="003771A3" w:rsidRPr="00DA1EBD" w:rsidRDefault="00B06BB7" w:rsidP="00B06BB7">
            <w:pPr>
              <w:jc w:val="center"/>
              <w:rPr>
                <w:rFonts w:ascii="Cambria" w:hAnsi="Cambria"/>
                <w:b/>
                <w:bCs/>
                <w:color w:val="FFFFFF" w:themeColor="background1"/>
                <w:sz w:val="20"/>
                <w:szCs w:val="20"/>
              </w:rPr>
            </w:pPr>
            <w:r w:rsidRPr="00DA1EBD">
              <w:rPr>
                <w:rFonts w:ascii="Cambria" w:hAnsi="Cambria"/>
                <w:b/>
                <w:bCs/>
                <w:color w:val="FFFFFF" w:themeColor="background1"/>
                <w:sz w:val="20"/>
                <w:szCs w:val="20"/>
              </w:rPr>
              <w:t>P</w:t>
            </w:r>
            <w:r w:rsidR="003771A3" w:rsidRPr="00DA1EBD">
              <w:rPr>
                <w:rFonts w:ascii="Cambria" w:hAnsi="Cambria"/>
                <w:b/>
                <w:bCs/>
                <w:color w:val="FFFFFF" w:themeColor="background1"/>
                <w:sz w:val="20"/>
                <w:szCs w:val="20"/>
              </w:rPr>
              <w:t>etitioner</w:t>
            </w:r>
            <w:r w:rsidRPr="00DA1EBD">
              <w:rPr>
                <w:rFonts w:ascii="Cambria" w:hAnsi="Cambria"/>
                <w:b/>
                <w:bCs/>
                <w:color w:val="FFFFFF" w:themeColor="background1"/>
                <w:sz w:val="20"/>
                <w:szCs w:val="20"/>
              </w:rPr>
              <w:t>’s</w:t>
            </w:r>
            <w:r w:rsidR="003771A3" w:rsidRPr="00DA1EBD">
              <w:rPr>
                <w:rFonts w:ascii="Cambria" w:hAnsi="Cambria"/>
                <w:b/>
                <w:bCs/>
                <w:color w:val="FFFFFF" w:themeColor="background1"/>
                <w:sz w:val="20"/>
                <w:szCs w:val="20"/>
              </w:rPr>
              <w:t xml:space="preserve"> respon</w:t>
            </w:r>
            <w:r w:rsidRPr="00DA1EBD">
              <w:rPr>
                <w:rFonts w:ascii="Cambria" w:hAnsi="Cambria"/>
                <w:b/>
                <w:bCs/>
                <w:color w:val="FFFFFF" w:themeColor="background1"/>
                <w:sz w:val="20"/>
                <w:szCs w:val="20"/>
              </w:rPr>
              <w:t>se</w:t>
            </w:r>
            <w:r w:rsidR="003771A3" w:rsidRPr="00DA1EBD">
              <w:rPr>
                <w:rFonts w:ascii="Cambria" w:hAnsi="Cambria"/>
                <w:b/>
                <w:bCs/>
                <w:color w:val="FFFFFF" w:themeColor="background1"/>
                <w:sz w:val="20"/>
                <w:szCs w:val="20"/>
              </w:rPr>
              <w:t xml:space="preserve"> to the notification regarding the possible archiving of the petition:</w:t>
            </w:r>
          </w:p>
        </w:tc>
        <w:tc>
          <w:tcPr>
            <w:tcW w:w="5670" w:type="dxa"/>
            <w:vAlign w:val="center"/>
          </w:tcPr>
          <w:p w14:paraId="6F6B7BFD" w14:textId="56A4E0A4" w:rsidR="003771A3" w:rsidRPr="00DA1EBD" w:rsidRDefault="007D0305" w:rsidP="00F45922">
            <w:pPr>
              <w:jc w:val="both"/>
              <w:rPr>
                <w:rFonts w:ascii="Cambria" w:hAnsi="Cambria"/>
                <w:bCs/>
                <w:sz w:val="20"/>
                <w:szCs w:val="20"/>
              </w:rPr>
            </w:pPr>
            <w:r w:rsidRPr="00DA1EBD">
              <w:rPr>
                <w:rFonts w:ascii="Cambria" w:hAnsi="Cambria"/>
                <w:bCs/>
                <w:sz w:val="20"/>
                <w:szCs w:val="20"/>
              </w:rPr>
              <w:t>July 17, 2017</w:t>
            </w:r>
          </w:p>
        </w:tc>
      </w:tr>
    </w:tbl>
    <w:p w14:paraId="7F88B361" w14:textId="77777777" w:rsidR="00F621C3" w:rsidRPr="00DA1EBD" w:rsidRDefault="00F621C3" w:rsidP="00F621C3">
      <w:pPr>
        <w:spacing w:before="240" w:after="240"/>
        <w:ind w:firstLine="720"/>
        <w:jc w:val="both"/>
        <w:rPr>
          <w:rFonts w:asciiTheme="majorHAnsi" w:hAnsiTheme="majorHAnsi"/>
          <w:b/>
          <w:bCs/>
          <w:sz w:val="20"/>
          <w:szCs w:val="20"/>
        </w:rPr>
      </w:pPr>
      <w:r w:rsidRPr="00DA1EBD">
        <w:rPr>
          <w:rFonts w:asciiTheme="majorHAnsi" w:hAnsiTheme="majorHAnsi"/>
          <w:b/>
          <w:bCs/>
          <w:sz w:val="20"/>
          <w:szCs w:val="20"/>
        </w:rPr>
        <w:t xml:space="preserve">III. </w:t>
      </w:r>
      <w:r w:rsidRPr="00DA1EBD">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DA1EBD"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DA1EBD" w:rsidRDefault="00F621C3" w:rsidP="00F45922">
            <w:pPr>
              <w:jc w:val="center"/>
              <w:rPr>
                <w:rFonts w:ascii="Cambria" w:hAnsi="Cambria"/>
                <w:b/>
                <w:bCs/>
                <w:i/>
                <w:color w:val="FFFFFF" w:themeColor="background1"/>
                <w:sz w:val="20"/>
                <w:szCs w:val="20"/>
              </w:rPr>
            </w:pPr>
            <w:r w:rsidRPr="00DA1EBD">
              <w:rPr>
                <w:rFonts w:ascii="Cambria" w:hAnsi="Cambria"/>
                <w:b/>
                <w:bCs/>
                <w:color w:val="FFFFFF" w:themeColor="background1"/>
                <w:sz w:val="20"/>
                <w:szCs w:val="20"/>
              </w:rPr>
              <w:t>Competence</w:t>
            </w:r>
            <w:r w:rsidRPr="00DA1EBD">
              <w:rPr>
                <w:rFonts w:ascii="Cambria" w:hAnsi="Cambria"/>
                <w:b/>
                <w:bCs/>
                <w:i/>
                <w:color w:val="FFFFFF" w:themeColor="background1"/>
                <w:sz w:val="20"/>
                <w:szCs w:val="20"/>
              </w:rPr>
              <w:t xml:space="preserve"> Ratione personae:</w:t>
            </w:r>
          </w:p>
        </w:tc>
        <w:tc>
          <w:tcPr>
            <w:tcW w:w="5670" w:type="dxa"/>
            <w:vAlign w:val="center"/>
          </w:tcPr>
          <w:p w14:paraId="237A8D0C" w14:textId="0E4AD789" w:rsidR="00F621C3" w:rsidRPr="00DA1EBD" w:rsidRDefault="007D0305" w:rsidP="00F45922">
            <w:pPr>
              <w:rPr>
                <w:rFonts w:asciiTheme="majorHAnsi" w:hAnsiTheme="majorHAnsi"/>
                <w:bCs/>
                <w:sz w:val="20"/>
                <w:szCs w:val="20"/>
              </w:rPr>
            </w:pPr>
            <w:r w:rsidRPr="00DA1EBD">
              <w:rPr>
                <w:rFonts w:asciiTheme="majorHAnsi" w:hAnsiTheme="majorHAnsi"/>
                <w:bCs/>
                <w:sz w:val="20"/>
                <w:szCs w:val="20"/>
              </w:rPr>
              <w:t>Yes</w:t>
            </w:r>
          </w:p>
        </w:tc>
      </w:tr>
      <w:tr w:rsidR="00F621C3" w:rsidRPr="00DA1EBD"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DA1EBD" w:rsidRDefault="00F621C3" w:rsidP="00F45922">
            <w:pPr>
              <w:jc w:val="center"/>
              <w:rPr>
                <w:rFonts w:ascii="Cambria" w:hAnsi="Cambria"/>
                <w:b/>
                <w:bCs/>
                <w:color w:val="FFFFFF" w:themeColor="background1"/>
                <w:sz w:val="20"/>
                <w:szCs w:val="20"/>
              </w:rPr>
            </w:pPr>
            <w:r w:rsidRPr="00DA1EBD">
              <w:rPr>
                <w:rFonts w:ascii="Cambria" w:hAnsi="Cambria"/>
                <w:b/>
                <w:bCs/>
                <w:color w:val="FFFFFF" w:themeColor="background1"/>
                <w:sz w:val="20"/>
                <w:szCs w:val="20"/>
              </w:rPr>
              <w:t>Competence</w:t>
            </w:r>
            <w:r w:rsidRPr="00DA1EBD">
              <w:rPr>
                <w:rFonts w:ascii="Cambria" w:hAnsi="Cambria"/>
                <w:b/>
                <w:bCs/>
                <w:i/>
                <w:color w:val="FFFFFF" w:themeColor="background1"/>
                <w:sz w:val="20"/>
                <w:szCs w:val="20"/>
              </w:rPr>
              <w:t xml:space="preserve"> Ratione loci</w:t>
            </w:r>
            <w:r w:rsidRPr="00DA1EBD">
              <w:rPr>
                <w:rFonts w:ascii="Cambria" w:hAnsi="Cambria"/>
                <w:b/>
                <w:bCs/>
                <w:color w:val="FFFFFF" w:themeColor="background1"/>
                <w:sz w:val="20"/>
                <w:szCs w:val="20"/>
              </w:rPr>
              <w:t>:</w:t>
            </w:r>
          </w:p>
        </w:tc>
        <w:tc>
          <w:tcPr>
            <w:tcW w:w="5670" w:type="dxa"/>
            <w:vAlign w:val="center"/>
          </w:tcPr>
          <w:p w14:paraId="48257424" w14:textId="683B6215" w:rsidR="00F621C3" w:rsidRPr="00DA1EBD" w:rsidRDefault="007D0305" w:rsidP="00F45922">
            <w:pPr>
              <w:rPr>
                <w:rFonts w:asciiTheme="majorHAnsi" w:hAnsiTheme="majorHAnsi"/>
                <w:bCs/>
                <w:sz w:val="20"/>
                <w:szCs w:val="20"/>
              </w:rPr>
            </w:pPr>
            <w:r w:rsidRPr="00DA1EBD">
              <w:rPr>
                <w:rFonts w:asciiTheme="majorHAnsi" w:hAnsiTheme="majorHAnsi"/>
                <w:bCs/>
                <w:sz w:val="20"/>
                <w:szCs w:val="20"/>
              </w:rPr>
              <w:t>Yes</w:t>
            </w:r>
          </w:p>
        </w:tc>
      </w:tr>
      <w:tr w:rsidR="00F621C3" w:rsidRPr="00DA1EBD"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DA1EBD" w:rsidRDefault="00F621C3" w:rsidP="00F45922">
            <w:pPr>
              <w:jc w:val="center"/>
              <w:rPr>
                <w:rFonts w:ascii="Cambria" w:hAnsi="Cambria"/>
                <w:b/>
                <w:bCs/>
                <w:color w:val="FFFFFF" w:themeColor="background1"/>
                <w:sz w:val="20"/>
                <w:szCs w:val="20"/>
              </w:rPr>
            </w:pPr>
            <w:r w:rsidRPr="00DA1EBD">
              <w:rPr>
                <w:rFonts w:ascii="Cambria" w:hAnsi="Cambria"/>
                <w:b/>
                <w:bCs/>
                <w:color w:val="FFFFFF" w:themeColor="background1"/>
                <w:sz w:val="20"/>
                <w:szCs w:val="20"/>
              </w:rPr>
              <w:t>Competence</w:t>
            </w:r>
            <w:r w:rsidRPr="00DA1EBD">
              <w:rPr>
                <w:rFonts w:ascii="Cambria" w:hAnsi="Cambria"/>
                <w:b/>
                <w:bCs/>
                <w:i/>
                <w:color w:val="FFFFFF" w:themeColor="background1"/>
                <w:sz w:val="20"/>
                <w:szCs w:val="20"/>
              </w:rPr>
              <w:t xml:space="preserve"> Ratione temporis</w:t>
            </w:r>
            <w:r w:rsidRPr="00DA1EBD">
              <w:rPr>
                <w:rFonts w:ascii="Cambria" w:hAnsi="Cambria"/>
                <w:b/>
                <w:bCs/>
                <w:color w:val="FFFFFF" w:themeColor="background1"/>
                <w:sz w:val="20"/>
                <w:szCs w:val="20"/>
              </w:rPr>
              <w:t>:</w:t>
            </w:r>
          </w:p>
        </w:tc>
        <w:tc>
          <w:tcPr>
            <w:tcW w:w="5670" w:type="dxa"/>
            <w:vAlign w:val="center"/>
          </w:tcPr>
          <w:p w14:paraId="74B3F783" w14:textId="492EAC20" w:rsidR="00F621C3" w:rsidRPr="00DA1EBD" w:rsidRDefault="007D0305" w:rsidP="00F45922">
            <w:pPr>
              <w:rPr>
                <w:rFonts w:asciiTheme="majorHAnsi" w:hAnsiTheme="majorHAnsi"/>
                <w:bCs/>
                <w:sz w:val="20"/>
                <w:szCs w:val="20"/>
              </w:rPr>
            </w:pPr>
            <w:r w:rsidRPr="00DA1EBD">
              <w:rPr>
                <w:rFonts w:asciiTheme="majorHAnsi" w:hAnsiTheme="majorHAnsi"/>
                <w:bCs/>
                <w:sz w:val="20"/>
                <w:szCs w:val="20"/>
              </w:rPr>
              <w:t>Yes</w:t>
            </w:r>
          </w:p>
        </w:tc>
      </w:tr>
      <w:tr w:rsidR="00F621C3" w:rsidRPr="00DA1EBD"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DA1EBD" w:rsidRDefault="00F621C3" w:rsidP="00F45922">
            <w:pPr>
              <w:jc w:val="center"/>
              <w:rPr>
                <w:rFonts w:ascii="Cambria" w:hAnsi="Cambria"/>
                <w:b/>
                <w:bCs/>
                <w:color w:val="FFFFFF" w:themeColor="background1"/>
                <w:sz w:val="20"/>
                <w:szCs w:val="20"/>
              </w:rPr>
            </w:pPr>
            <w:r w:rsidRPr="00DA1EBD">
              <w:rPr>
                <w:rFonts w:ascii="Cambria" w:hAnsi="Cambria"/>
                <w:b/>
                <w:bCs/>
                <w:color w:val="FFFFFF" w:themeColor="background1"/>
                <w:sz w:val="20"/>
                <w:szCs w:val="20"/>
              </w:rPr>
              <w:t>Competence</w:t>
            </w:r>
            <w:r w:rsidRPr="00DA1EBD">
              <w:rPr>
                <w:rFonts w:ascii="Cambria" w:hAnsi="Cambria"/>
                <w:b/>
                <w:bCs/>
                <w:i/>
                <w:color w:val="FFFFFF" w:themeColor="background1"/>
                <w:sz w:val="20"/>
                <w:szCs w:val="20"/>
              </w:rPr>
              <w:t xml:space="preserve"> Ratione materiae</w:t>
            </w:r>
            <w:r w:rsidRPr="00DA1EBD">
              <w:rPr>
                <w:rFonts w:ascii="Cambria" w:hAnsi="Cambria"/>
                <w:b/>
                <w:bCs/>
                <w:color w:val="FFFFFF" w:themeColor="background1"/>
                <w:sz w:val="20"/>
                <w:szCs w:val="20"/>
              </w:rPr>
              <w:t>:</w:t>
            </w:r>
          </w:p>
        </w:tc>
        <w:tc>
          <w:tcPr>
            <w:tcW w:w="5670" w:type="dxa"/>
            <w:vAlign w:val="center"/>
          </w:tcPr>
          <w:p w14:paraId="64B3F199" w14:textId="1E8E2211" w:rsidR="00F621C3" w:rsidRPr="00DA1EBD" w:rsidRDefault="007D0305" w:rsidP="00F45922">
            <w:pPr>
              <w:jc w:val="both"/>
              <w:rPr>
                <w:rFonts w:asciiTheme="majorHAnsi" w:hAnsiTheme="majorHAnsi"/>
                <w:bCs/>
                <w:sz w:val="20"/>
                <w:szCs w:val="20"/>
              </w:rPr>
            </w:pPr>
            <w:r w:rsidRPr="00DA1EBD">
              <w:rPr>
                <w:rFonts w:asciiTheme="majorHAnsi" w:hAnsiTheme="majorHAnsi"/>
                <w:bCs/>
                <w:sz w:val="20"/>
                <w:szCs w:val="20"/>
              </w:rPr>
              <w:t>Yes, American Convention (deposit of instrument made on July 31, 1973) and IACPPT (deposit of instrument made on January 19, 1999)</w:t>
            </w:r>
          </w:p>
        </w:tc>
      </w:tr>
    </w:tbl>
    <w:p w14:paraId="4922CB09" w14:textId="77777777" w:rsidR="00D96A9E" w:rsidRDefault="00D96A9E" w:rsidP="00F621C3">
      <w:pPr>
        <w:spacing w:before="240" w:after="240"/>
        <w:ind w:firstLine="720"/>
        <w:jc w:val="both"/>
        <w:rPr>
          <w:rFonts w:asciiTheme="majorHAnsi" w:hAnsiTheme="majorHAnsi"/>
          <w:b/>
          <w:bCs/>
          <w:sz w:val="20"/>
          <w:szCs w:val="20"/>
        </w:rPr>
      </w:pPr>
    </w:p>
    <w:p w14:paraId="56D3F82D" w14:textId="77777777" w:rsidR="00D96A9E" w:rsidRDefault="00D96A9E" w:rsidP="00F621C3">
      <w:pPr>
        <w:spacing w:before="240" w:after="240"/>
        <w:ind w:firstLine="720"/>
        <w:jc w:val="both"/>
        <w:rPr>
          <w:rFonts w:asciiTheme="majorHAnsi" w:hAnsiTheme="majorHAnsi"/>
          <w:b/>
          <w:bCs/>
          <w:sz w:val="20"/>
          <w:szCs w:val="20"/>
        </w:rPr>
      </w:pPr>
    </w:p>
    <w:p w14:paraId="0408D4CD" w14:textId="54A61356" w:rsidR="00F621C3" w:rsidRPr="00DA1EBD" w:rsidRDefault="00F621C3" w:rsidP="00F621C3">
      <w:pPr>
        <w:spacing w:before="240" w:after="240"/>
        <w:ind w:firstLine="720"/>
        <w:jc w:val="both"/>
        <w:rPr>
          <w:rFonts w:asciiTheme="majorHAnsi" w:hAnsiTheme="majorHAnsi"/>
          <w:b/>
          <w:bCs/>
          <w:sz w:val="20"/>
          <w:szCs w:val="20"/>
        </w:rPr>
      </w:pPr>
      <w:r w:rsidRPr="00DA1EBD">
        <w:rPr>
          <w:rFonts w:asciiTheme="majorHAnsi" w:hAnsiTheme="majorHAnsi"/>
          <w:b/>
          <w:bCs/>
          <w:sz w:val="20"/>
          <w:szCs w:val="20"/>
        </w:rPr>
        <w:lastRenderedPageBreak/>
        <w:t xml:space="preserve">IV. </w:t>
      </w:r>
      <w:r w:rsidRPr="00DA1EBD">
        <w:rPr>
          <w:rFonts w:asciiTheme="majorHAnsi" w:hAnsiTheme="majorHAnsi"/>
          <w:b/>
          <w:bCs/>
          <w:sz w:val="20"/>
          <w:szCs w:val="20"/>
        </w:rPr>
        <w:tab/>
        <w:t xml:space="preserve">DUPLICATION OF PROCEDURES AND INTERNATIONAL </w:t>
      </w:r>
      <w:r w:rsidRPr="00DA1EBD">
        <w:rPr>
          <w:rFonts w:asciiTheme="majorHAnsi" w:hAnsiTheme="majorHAnsi"/>
          <w:b/>
          <w:bCs/>
          <w:i/>
          <w:sz w:val="20"/>
          <w:szCs w:val="20"/>
        </w:rPr>
        <w:t>RES JUDICATA</w:t>
      </w:r>
      <w:r w:rsidRPr="00DA1EBD">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DA1EBD"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DA1EBD" w:rsidRDefault="00F621C3" w:rsidP="00F45922">
            <w:pPr>
              <w:jc w:val="center"/>
              <w:rPr>
                <w:rFonts w:ascii="Cambria" w:hAnsi="Cambria"/>
                <w:b/>
                <w:bCs/>
                <w:color w:val="FFFFFF" w:themeColor="background1"/>
                <w:sz w:val="20"/>
                <w:szCs w:val="20"/>
              </w:rPr>
            </w:pPr>
            <w:r w:rsidRPr="00DA1EBD">
              <w:rPr>
                <w:rFonts w:ascii="Cambria" w:hAnsi="Cambria"/>
                <w:b/>
                <w:bCs/>
                <w:color w:val="FFFFFF" w:themeColor="background1"/>
                <w:sz w:val="20"/>
                <w:szCs w:val="20"/>
              </w:rPr>
              <w:t xml:space="preserve">Duplication of procedures and International </w:t>
            </w:r>
            <w:r w:rsidRPr="00DA1EBD">
              <w:rPr>
                <w:rFonts w:ascii="Cambria" w:hAnsi="Cambria"/>
                <w:b/>
                <w:bCs/>
                <w:i/>
                <w:color w:val="FFFFFF" w:themeColor="background1"/>
                <w:sz w:val="20"/>
                <w:szCs w:val="20"/>
              </w:rPr>
              <w:t>res judicata</w:t>
            </w:r>
            <w:r w:rsidRPr="00DA1EBD">
              <w:rPr>
                <w:rFonts w:ascii="Cambria" w:hAnsi="Cambria"/>
                <w:b/>
                <w:bCs/>
                <w:color w:val="FFFFFF" w:themeColor="background1"/>
                <w:sz w:val="20"/>
                <w:szCs w:val="20"/>
              </w:rPr>
              <w:t>:</w:t>
            </w:r>
          </w:p>
        </w:tc>
        <w:tc>
          <w:tcPr>
            <w:tcW w:w="5670" w:type="dxa"/>
            <w:vAlign w:val="center"/>
          </w:tcPr>
          <w:p w14:paraId="4773CD23" w14:textId="4DBDA2DE" w:rsidR="00F621C3" w:rsidRPr="00DA1EBD" w:rsidRDefault="007D0305" w:rsidP="00F45922">
            <w:pPr>
              <w:jc w:val="both"/>
              <w:rPr>
                <w:rFonts w:ascii="Cambria" w:hAnsi="Cambria"/>
                <w:bCs/>
                <w:sz w:val="20"/>
                <w:szCs w:val="20"/>
              </w:rPr>
            </w:pPr>
            <w:r w:rsidRPr="00DA1EBD">
              <w:rPr>
                <w:rFonts w:ascii="Cambria" w:hAnsi="Cambria"/>
                <w:bCs/>
                <w:sz w:val="20"/>
                <w:szCs w:val="20"/>
              </w:rPr>
              <w:t>No</w:t>
            </w:r>
          </w:p>
        </w:tc>
      </w:tr>
      <w:tr w:rsidR="00F621C3" w:rsidRPr="00DA1EBD"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DA1EBD" w:rsidRDefault="00F621C3" w:rsidP="00F45922">
            <w:pPr>
              <w:jc w:val="center"/>
              <w:rPr>
                <w:rFonts w:ascii="Cambria" w:hAnsi="Cambria"/>
                <w:b/>
                <w:bCs/>
                <w:i/>
                <w:color w:val="FFFFFF" w:themeColor="background1"/>
                <w:sz w:val="20"/>
                <w:szCs w:val="20"/>
              </w:rPr>
            </w:pPr>
            <w:r w:rsidRPr="00DA1EBD">
              <w:rPr>
                <w:rFonts w:ascii="Cambria" w:hAnsi="Cambria"/>
                <w:b/>
                <w:bCs/>
                <w:color w:val="FFFFFF" w:themeColor="background1"/>
                <w:sz w:val="20"/>
                <w:szCs w:val="20"/>
              </w:rPr>
              <w:t>Rights declared admissible</w:t>
            </w:r>
          </w:p>
        </w:tc>
        <w:tc>
          <w:tcPr>
            <w:tcW w:w="5670" w:type="dxa"/>
            <w:vAlign w:val="center"/>
          </w:tcPr>
          <w:p w14:paraId="33BE4040" w14:textId="3743DD98" w:rsidR="00F621C3" w:rsidRPr="00DA1EBD" w:rsidRDefault="007D0305" w:rsidP="000120ED">
            <w:pPr>
              <w:jc w:val="both"/>
              <w:rPr>
                <w:rFonts w:ascii="Cambria" w:hAnsi="Cambria"/>
                <w:bCs/>
                <w:sz w:val="20"/>
                <w:szCs w:val="20"/>
              </w:rPr>
            </w:pPr>
            <w:r w:rsidRPr="00DA1EBD">
              <w:rPr>
                <w:rFonts w:ascii="Cambria" w:hAnsi="Cambria"/>
                <w:bCs/>
                <w:sz w:val="20"/>
                <w:szCs w:val="20"/>
              </w:rPr>
              <w:t>Articles 4 (life), 5 (humane treatment), 7 (personal liberty), 8 (fair trial), 17 (rights of the family), 19, (rights of the child), 21 (property), 22 (freedom of movement and residence), 24 (equal protection),</w:t>
            </w:r>
            <w:r w:rsidR="000120ED">
              <w:rPr>
                <w:rFonts w:ascii="Cambria" w:hAnsi="Cambria"/>
                <w:bCs/>
                <w:sz w:val="20"/>
                <w:szCs w:val="20"/>
              </w:rPr>
              <w:t xml:space="preserve"> </w:t>
            </w:r>
            <w:r w:rsidRPr="00DA1EBD">
              <w:rPr>
                <w:rFonts w:ascii="Cambria" w:hAnsi="Cambria"/>
                <w:bCs/>
                <w:sz w:val="20"/>
                <w:szCs w:val="20"/>
              </w:rPr>
              <w:t xml:space="preserve">25 (judicial protection), </w:t>
            </w:r>
            <w:r w:rsidR="000120ED" w:rsidRPr="00DA1EBD">
              <w:rPr>
                <w:rFonts w:ascii="Cambria" w:hAnsi="Cambria"/>
                <w:sz w:val="20"/>
                <w:szCs w:val="20"/>
              </w:rPr>
              <w:t>26 (</w:t>
            </w:r>
            <w:r w:rsidR="000120ED">
              <w:rPr>
                <w:rFonts w:ascii="Cambria" w:hAnsi="Cambria"/>
                <w:sz w:val="20"/>
                <w:szCs w:val="20"/>
              </w:rPr>
              <w:t>economic, social an cultural rights)</w:t>
            </w:r>
            <w:r w:rsidRPr="00DA1EBD">
              <w:rPr>
                <w:rFonts w:ascii="Cambria" w:hAnsi="Cambria"/>
                <w:bCs/>
                <w:sz w:val="20"/>
                <w:szCs w:val="20"/>
              </w:rPr>
              <w:t xml:space="preserve"> of the American Convention in relation to its Articles 1 and 2, and Articles 1, 6 and 8 of the IACPPT</w:t>
            </w:r>
          </w:p>
        </w:tc>
      </w:tr>
      <w:tr w:rsidR="00F621C3" w:rsidRPr="00DA1EBD"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DA1EBD" w:rsidRDefault="00F621C3" w:rsidP="00F45922">
            <w:pPr>
              <w:jc w:val="center"/>
              <w:rPr>
                <w:rFonts w:ascii="Cambria" w:hAnsi="Cambria"/>
                <w:b/>
                <w:bCs/>
                <w:color w:val="FFFFFF" w:themeColor="background1"/>
                <w:sz w:val="20"/>
                <w:szCs w:val="20"/>
              </w:rPr>
            </w:pPr>
            <w:r w:rsidRPr="00DA1EBD">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332D8205" w:rsidR="00F621C3" w:rsidRPr="00DA1EBD" w:rsidRDefault="007D0305" w:rsidP="00F45922">
            <w:pPr>
              <w:rPr>
                <w:rFonts w:ascii="Cambria" w:hAnsi="Cambria"/>
                <w:bCs/>
                <w:sz w:val="20"/>
                <w:szCs w:val="20"/>
              </w:rPr>
            </w:pPr>
            <w:r w:rsidRPr="00DA1EBD">
              <w:rPr>
                <w:rFonts w:ascii="Cambria" w:hAnsi="Cambria"/>
                <w:bCs/>
                <w:sz w:val="20"/>
                <w:szCs w:val="20"/>
              </w:rPr>
              <w:t>Yes, in the terms of Section VI</w:t>
            </w:r>
          </w:p>
          <w:p w14:paraId="432DC56B" w14:textId="77777777" w:rsidR="00F621C3" w:rsidRPr="00DA1EBD" w:rsidRDefault="00F621C3" w:rsidP="00F45922">
            <w:pPr>
              <w:rPr>
                <w:rFonts w:ascii="Cambria" w:hAnsi="Cambria"/>
                <w:bCs/>
                <w:sz w:val="20"/>
                <w:szCs w:val="20"/>
              </w:rPr>
            </w:pPr>
          </w:p>
        </w:tc>
      </w:tr>
      <w:tr w:rsidR="00F621C3" w:rsidRPr="00DA1EBD"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DA1EBD" w:rsidRDefault="00F621C3" w:rsidP="00F45922">
            <w:pPr>
              <w:jc w:val="center"/>
              <w:rPr>
                <w:rFonts w:ascii="Cambria" w:hAnsi="Cambria"/>
                <w:b/>
                <w:bCs/>
                <w:color w:val="FFFFFF" w:themeColor="background1"/>
                <w:sz w:val="20"/>
                <w:szCs w:val="20"/>
              </w:rPr>
            </w:pPr>
            <w:r w:rsidRPr="00DA1EBD">
              <w:rPr>
                <w:rFonts w:ascii="Cambria" w:hAnsi="Cambria"/>
                <w:b/>
                <w:bCs/>
                <w:color w:val="FFFFFF" w:themeColor="background1"/>
                <w:sz w:val="20"/>
                <w:szCs w:val="20"/>
              </w:rPr>
              <w:t>Timeliness of the petition:</w:t>
            </w:r>
          </w:p>
        </w:tc>
        <w:tc>
          <w:tcPr>
            <w:tcW w:w="5670" w:type="dxa"/>
            <w:vAlign w:val="center"/>
          </w:tcPr>
          <w:p w14:paraId="6A26CCE9" w14:textId="73E1B8FA" w:rsidR="00F621C3" w:rsidRPr="00DA1EBD" w:rsidRDefault="007D0305" w:rsidP="00F45922">
            <w:pPr>
              <w:rPr>
                <w:rFonts w:asciiTheme="majorHAnsi" w:hAnsiTheme="majorHAnsi"/>
                <w:bCs/>
                <w:sz w:val="20"/>
                <w:szCs w:val="20"/>
              </w:rPr>
            </w:pPr>
            <w:r w:rsidRPr="00DA1EBD">
              <w:rPr>
                <w:rFonts w:asciiTheme="majorHAnsi" w:hAnsiTheme="majorHAnsi"/>
                <w:bCs/>
                <w:sz w:val="20"/>
                <w:szCs w:val="20"/>
              </w:rPr>
              <w:t>Yes, in the terms of Section VI</w:t>
            </w:r>
          </w:p>
        </w:tc>
      </w:tr>
    </w:tbl>
    <w:p w14:paraId="629E2DE8" w14:textId="62D32F02" w:rsidR="00F621C3" w:rsidRPr="00DA1EBD" w:rsidRDefault="00F621C3" w:rsidP="00F621C3">
      <w:pPr>
        <w:spacing w:before="240" w:after="240"/>
        <w:ind w:firstLine="720"/>
        <w:jc w:val="both"/>
        <w:rPr>
          <w:rFonts w:asciiTheme="majorHAnsi" w:hAnsiTheme="majorHAnsi"/>
          <w:b/>
          <w:sz w:val="20"/>
          <w:szCs w:val="20"/>
        </w:rPr>
      </w:pPr>
      <w:r w:rsidRPr="00DA1EBD">
        <w:rPr>
          <w:rFonts w:asciiTheme="majorHAnsi" w:hAnsiTheme="majorHAnsi"/>
          <w:b/>
          <w:sz w:val="20"/>
          <w:szCs w:val="20"/>
        </w:rPr>
        <w:t xml:space="preserve">V. </w:t>
      </w:r>
      <w:r w:rsidRPr="00DA1EBD">
        <w:rPr>
          <w:rFonts w:asciiTheme="majorHAnsi" w:hAnsiTheme="majorHAnsi"/>
          <w:b/>
          <w:sz w:val="20"/>
          <w:szCs w:val="20"/>
        </w:rPr>
        <w:tab/>
        <w:t xml:space="preserve">FACTS </w:t>
      </w:r>
      <w:r w:rsidR="005816E5" w:rsidRPr="00DA1EBD">
        <w:rPr>
          <w:rFonts w:asciiTheme="majorHAnsi" w:hAnsiTheme="majorHAnsi"/>
          <w:b/>
          <w:sz w:val="20"/>
          <w:szCs w:val="20"/>
        </w:rPr>
        <w:t>ALLEGED</w:t>
      </w:r>
    </w:p>
    <w:p w14:paraId="6953F7A4" w14:textId="3685003F" w:rsidR="00F621C3" w:rsidRPr="00DA1EBD" w:rsidRDefault="005E2965"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A1EBD">
        <w:rPr>
          <w:rFonts w:ascii="Cambria" w:hAnsi="Cambria"/>
          <w:sz w:val="20"/>
          <w:szCs w:val="20"/>
        </w:rPr>
        <w:t>The petitioner alleges</w:t>
      </w:r>
      <w:r w:rsidR="00BC592A" w:rsidRPr="00DA1EBD">
        <w:rPr>
          <w:rFonts w:ascii="Cambria" w:hAnsi="Cambria"/>
          <w:sz w:val="20"/>
          <w:szCs w:val="20"/>
        </w:rPr>
        <w:t xml:space="preserve"> that on February 10 and 11</w:t>
      </w:r>
      <w:r w:rsidRPr="00DA1EBD">
        <w:rPr>
          <w:rFonts w:ascii="Cambria" w:hAnsi="Cambria"/>
          <w:sz w:val="20"/>
          <w:szCs w:val="20"/>
        </w:rPr>
        <w:t>, 2000,</w:t>
      </w:r>
      <w:r w:rsidR="00BC592A" w:rsidRPr="00DA1EBD">
        <w:rPr>
          <w:rFonts w:ascii="Cambria" w:hAnsi="Cambria"/>
          <w:sz w:val="20"/>
          <w:szCs w:val="20"/>
        </w:rPr>
        <w:t xml:space="preserve"> between 40 and 80 memb</w:t>
      </w:r>
      <w:r w:rsidR="00123E1D" w:rsidRPr="00DA1EBD">
        <w:rPr>
          <w:rFonts w:ascii="Cambria" w:hAnsi="Cambria"/>
          <w:sz w:val="20"/>
          <w:szCs w:val="20"/>
        </w:rPr>
        <w:t>ers of the Walter Usuga Brigad</w:t>
      </w:r>
      <w:r w:rsidRPr="00DA1EBD">
        <w:rPr>
          <w:rFonts w:ascii="Cambria" w:hAnsi="Cambria"/>
          <w:sz w:val="20"/>
          <w:szCs w:val="20"/>
        </w:rPr>
        <w:t xml:space="preserve">e of </w:t>
      </w:r>
      <w:r w:rsidR="00BC592A" w:rsidRPr="00DA1EBD">
        <w:rPr>
          <w:rFonts w:ascii="Cambria" w:hAnsi="Cambria"/>
          <w:sz w:val="20"/>
          <w:szCs w:val="20"/>
        </w:rPr>
        <w:t xml:space="preserve">the United Self-Defense Groups of Córdoba and Urabá (hereinafter "AUCU"), entered the Bocas de Aracataca </w:t>
      </w:r>
      <w:r w:rsidRPr="00DA1EBD">
        <w:rPr>
          <w:rFonts w:ascii="Cambria" w:hAnsi="Cambria"/>
          <w:sz w:val="20"/>
          <w:szCs w:val="20"/>
        </w:rPr>
        <w:t xml:space="preserve">district </w:t>
      </w:r>
      <w:r w:rsidR="00BC592A" w:rsidRPr="00DA1EBD">
        <w:rPr>
          <w:rFonts w:ascii="Cambria" w:hAnsi="Cambria"/>
          <w:sz w:val="20"/>
          <w:szCs w:val="20"/>
        </w:rPr>
        <w:t xml:space="preserve">in the Department of Magdalena. He </w:t>
      </w:r>
      <w:r w:rsidRPr="00DA1EBD">
        <w:rPr>
          <w:rFonts w:ascii="Cambria" w:hAnsi="Cambria"/>
          <w:sz w:val="20"/>
          <w:szCs w:val="20"/>
        </w:rPr>
        <w:t>reports</w:t>
      </w:r>
      <w:r w:rsidR="00BC592A" w:rsidRPr="00DA1EBD">
        <w:rPr>
          <w:rFonts w:ascii="Cambria" w:hAnsi="Cambria"/>
          <w:sz w:val="20"/>
          <w:szCs w:val="20"/>
        </w:rPr>
        <w:t xml:space="preserve"> that the paramilitaries </w:t>
      </w:r>
      <w:r w:rsidRPr="00DA1EBD">
        <w:rPr>
          <w:rFonts w:ascii="Cambria" w:hAnsi="Cambria"/>
          <w:sz w:val="20"/>
          <w:szCs w:val="20"/>
        </w:rPr>
        <w:t>detained</w:t>
      </w:r>
      <w:r w:rsidR="00BC592A" w:rsidRPr="00DA1EBD">
        <w:rPr>
          <w:rFonts w:ascii="Cambria" w:hAnsi="Cambria"/>
          <w:sz w:val="20"/>
          <w:szCs w:val="20"/>
        </w:rPr>
        <w:t xml:space="preserve"> a group of villagers, while torturing and murdering another ten </w:t>
      </w:r>
      <w:r w:rsidRPr="00DA1EBD">
        <w:rPr>
          <w:rFonts w:ascii="Cambria" w:hAnsi="Cambria"/>
          <w:sz w:val="20"/>
          <w:szCs w:val="20"/>
        </w:rPr>
        <w:t>individuals</w:t>
      </w:r>
      <w:r w:rsidR="00BC592A" w:rsidRPr="00DA1EBD">
        <w:rPr>
          <w:rFonts w:ascii="Cambria" w:hAnsi="Cambria"/>
          <w:sz w:val="20"/>
          <w:szCs w:val="20"/>
        </w:rPr>
        <w:t xml:space="preserve">. He points out that </w:t>
      </w:r>
      <w:r w:rsidRPr="00DA1EBD">
        <w:rPr>
          <w:rFonts w:ascii="Cambria" w:hAnsi="Cambria"/>
          <w:sz w:val="20"/>
          <w:szCs w:val="20"/>
        </w:rPr>
        <w:t>these actions resulted in</w:t>
      </w:r>
      <w:r w:rsidR="00BC592A" w:rsidRPr="00DA1EBD">
        <w:rPr>
          <w:rFonts w:ascii="Cambria" w:hAnsi="Cambria"/>
          <w:sz w:val="20"/>
          <w:szCs w:val="20"/>
        </w:rPr>
        <w:t xml:space="preserve"> massive displacement of the </w:t>
      </w:r>
      <w:r w:rsidRPr="00DA1EBD">
        <w:rPr>
          <w:rFonts w:ascii="Cambria" w:hAnsi="Cambria"/>
          <w:sz w:val="20"/>
          <w:szCs w:val="20"/>
        </w:rPr>
        <w:t xml:space="preserve">district’s </w:t>
      </w:r>
      <w:r w:rsidR="00BC592A" w:rsidRPr="00DA1EBD">
        <w:rPr>
          <w:rFonts w:ascii="Cambria" w:hAnsi="Cambria"/>
          <w:sz w:val="20"/>
          <w:szCs w:val="20"/>
        </w:rPr>
        <w:t>habitants</w:t>
      </w:r>
      <w:r w:rsidRPr="00DA1EBD">
        <w:rPr>
          <w:rFonts w:ascii="Cambria" w:hAnsi="Cambria"/>
          <w:sz w:val="20"/>
          <w:szCs w:val="20"/>
        </w:rPr>
        <w:t xml:space="preserve">, with an estimated </w:t>
      </w:r>
      <w:r w:rsidR="00BC592A" w:rsidRPr="00DA1EBD">
        <w:rPr>
          <w:rFonts w:ascii="Cambria" w:hAnsi="Cambria"/>
          <w:sz w:val="20"/>
          <w:szCs w:val="20"/>
        </w:rPr>
        <w:t xml:space="preserve">population of </w:t>
      </w:r>
      <w:r w:rsidRPr="00DA1EBD">
        <w:rPr>
          <w:rFonts w:ascii="Cambria" w:hAnsi="Cambria"/>
          <w:sz w:val="20"/>
          <w:szCs w:val="20"/>
        </w:rPr>
        <w:t>1,2</w:t>
      </w:r>
      <w:r w:rsidR="00BC592A" w:rsidRPr="00DA1EBD">
        <w:rPr>
          <w:rFonts w:ascii="Cambria" w:hAnsi="Cambria"/>
          <w:sz w:val="20"/>
          <w:szCs w:val="20"/>
        </w:rPr>
        <w:t xml:space="preserve">00 </w:t>
      </w:r>
      <w:r w:rsidRPr="00DA1EBD">
        <w:rPr>
          <w:rFonts w:ascii="Cambria" w:hAnsi="Cambria"/>
          <w:sz w:val="20"/>
          <w:szCs w:val="20"/>
        </w:rPr>
        <w:t>individuals</w:t>
      </w:r>
      <w:r w:rsidR="00BC592A" w:rsidRPr="00DA1EBD">
        <w:rPr>
          <w:rFonts w:ascii="Cambria" w:hAnsi="Cambria"/>
          <w:sz w:val="20"/>
          <w:szCs w:val="20"/>
        </w:rPr>
        <w:t xml:space="preserve">. He reports that this massacre </w:t>
      </w:r>
      <w:r w:rsidR="00123E1D" w:rsidRPr="00DA1EBD">
        <w:rPr>
          <w:rFonts w:ascii="Cambria" w:hAnsi="Cambria"/>
          <w:sz w:val="20"/>
          <w:szCs w:val="20"/>
        </w:rPr>
        <w:t>took place in the context of generalized violence perpetrated by the reg</w:t>
      </w:r>
      <w:r w:rsidRPr="00DA1EBD">
        <w:rPr>
          <w:rFonts w:ascii="Cambria" w:hAnsi="Cambria"/>
          <w:sz w:val="20"/>
          <w:szCs w:val="20"/>
        </w:rPr>
        <w:t xml:space="preserve">ion’s </w:t>
      </w:r>
      <w:r w:rsidR="00BC592A" w:rsidRPr="00DA1EBD">
        <w:rPr>
          <w:rFonts w:ascii="Cambria" w:hAnsi="Cambria"/>
          <w:sz w:val="20"/>
          <w:szCs w:val="20"/>
        </w:rPr>
        <w:t>self-defense groups.</w:t>
      </w:r>
    </w:p>
    <w:p w14:paraId="358253BE" w14:textId="11E58C55" w:rsidR="007D0305" w:rsidRPr="00DA1EBD" w:rsidRDefault="000F5317"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A1EBD">
        <w:rPr>
          <w:rFonts w:ascii="Cambria" w:hAnsi="Cambria"/>
          <w:sz w:val="20"/>
          <w:szCs w:val="20"/>
        </w:rPr>
        <w:t>He</w:t>
      </w:r>
      <w:r w:rsidR="00BC592A" w:rsidRPr="00DA1EBD">
        <w:rPr>
          <w:rFonts w:ascii="Cambria" w:hAnsi="Cambria"/>
          <w:sz w:val="20"/>
          <w:szCs w:val="20"/>
        </w:rPr>
        <w:t xml:space="preserve"> indicates that </w:t>
      </w:r>
      <w:r w:rsidRPr="00DA1EBD">
        <w:rPr>
          <w:rFonts w:ascii="Cambria" w:hAnsi="Cambria"/>
          <w:sz w:val="20"/>
          <w:szCs w:val="20"/>
        </w:rPr>
        <w:t xml:space="preserve">on February 10, 2000, </w:t>
      </w:r>
      <w:r w:rsidR="00BC592A" w:rsidRPr="00DA1EBD">
        <w:rPr>
          <w:rFonts w:ascii="Cambria" w:hAnsi="Cambria"/>
          <w:sz w:val="20"/>
          <w:szCs w:val="20"/>
        </w:rPr>
        <w:t xml:space="preserve">in the riverside </w:t>
      </w:r>
      <w:r w:rsidRPr="00DA1EBD">
        <w:rPr>
          <w:rFonts w:ascii="Cambria" w:hAnsi="Cambria"/>
          <w:sz w:val="20"/>
          <w:szCs w:val="20"/>
        </w:rPr>
        <w:t>area</w:t>
      </w:r>
      <w:r w:rsidR="00BC592A" w:rsidRPr="00DA1EBD">
        <w:rPr>
          <w:rFonts w:ascii="Cambria" w:hAnsi="Cambria"/>
          <w:sz w:val="20"/>
          <w:szCs w:val="20"/>
        </w:rPr>
        <w:t xml:space="preserve"> called Cabaña del Hobo, members of the AUCU intercepted several </w:t>
      </w:r>
      <w:r w:rsidR="00523113" w:rsidRPr="00DA1EBD">
        <w:rPr>
          <w:rFonts w:ascii="Cambria" w:hAnsi="Cambria"/>
          <w:sz w:val="20"/>
          <w:szCs w:val="20"/>
        </w:rPr>
        <w:t>outboard canoes</w:t>
      </w:r>
      <w:r w:rsidR="00BC592A" w:rsidRPr="00DA1EBD">
        <w:rPr>
          <w:rFonts w:ascii="Cambria" w:hAnsi="Cambria"/>
          <w:sz w:val="20"/>
          <w:szCs w:val="20"/>
        </w:rPr>
        <w:t xml:space="preserve"> and boats, </w:t>
      </w:r>
      <w:r w:rsidR="00523113" w:rsidRPr="00DA1EBD">
        <w:rPr>
          <w:rFonts w:ascii="Cambria" w:hAnsi="Cambria"/>
          <w:sz w:val="20"/>
          <w:szCs w:val="20"/>
        </w:rPr>
        <w:t>holding</w:t>
      </w:r>
      <w:r w:rsidRPr="00DA1EBD">
        <w:rPr>
          <w:rFonts w:ascii="Cambria" w:hAnsi="Cambria"/>
          <w:sz w:val="20"/>
          <w:szCs w:val="20"/>
        </w:rPr>
        <w:t xml:space="preserve"> the</w:t>
      </w:r>
      <w:r w:rsidR="00BC592A" w:rsidRPr="00DA1EBD">
        <w:rPr>
          <w:rFonts w:ascii="Cambria" w:hAnsi="Cambria"/>
          <w:sz w:val="20"/>
          <w:szCs w:val="20"/>
        </w:rPr>
        <w:t xml:space="preserve"> fishermen and</w:t>
      </w:r>
      <w:r w:rsidRPr="00DA1EBD">
        <w:rPr>
          <w:rFonts w:ascii="Cambria" w:hAnsi="Cambria"/>
          <w:sz w:val="20"/>
          <w:szCs w:val="20"/>
        </w:rPr>
        <w:t xml:space="preserve"> workers who were there</w:t>
      </w:r>
      <w:r w:rsidR="00523113" w:rsidRPr="00DA1EBD">
        <w:rPr>
          <w:rFonts w:ascii="Cambria" w:hAnsi="Cambria"/>
          <w:sz w:val="20"/>
          <w:szCs w:val="20"/>
        </w:rPr>
        <w:t xml:space="preserve"> captive</w:t>
      </w:r>
      <w:r w:rsidRPr="00DA1EBD">
        <w:rPr>
          <w:rFonts w:ascii="Cambria" w:hAnsi="Cambria"/>
          <w:sz w:val="20"/>
          <w:szCs w:val="20"/>
        </w:rPr>
        <w:t xml:space="preserve">. </w:t>
      </w:r>
      <w:r w:rsidR="00523113" w:rsidRPr="00DA1EBD">
        <w:rPr>
          <w:rFonts w:ascii="Cambria" w:hAnsi="Cambria"/>
          <w:sz w:val="20"/>
          <w:szCs w:val="20"/>
        </w:rPr>
        <w:t>They</w:t>
      </w:r>
      <w:r w:rsidR="00BC592A" w:rsidRPr="00DA1EBD">
        <w:rPr>
          <w:rFonts w:ascii="Cambria" w:hAnsi="Cambria"/>
          <w:sz w:val="20"/>
          <w:szCs w:val="20"/>
        </w:rPr>
        <w:t xml:space="preserve"> were all taken to a nearby ranch, where they were warned </w:t>
      </w:r>
      <w:r w:rsidRPr="00DA1EBD">
        <w:rPr>
          <w:rFonts w:ascii="Cambria" w:hAnsi="Cambria"/>
          <w:sz w:val="20"/>
          <w:szCs w:val="20"/>
        </w:rPr>
        <w:t>not to</w:t>
      </w:r>
      <w:r w:rsidR="00BC592A" w:rsidRPr="00DA1EBD">
        <w:rPr>
          <w:rFonts w:ascii="Cambria" w:hAnsi="Cambria"/>
          <w:sz w:val="20"/>
          <w:szCs w:val="20"/>
        </w:rPr>
        <w:t xml:space="preserve"> leave until further notice. He </w:t>
      </w:r>
      <w:r w:rsidRPr="00DA1EBD">
        <w:rPr>
          <w:rFonts w:ascii="Cambria" w:hAnsi="Cambria"/>
          <w:sz w:val="20"/>
          <w:szCs w:val="20"/>
        </w:rPr>
        <w:t>alleges</w:t>
      </w:r>
      <w:r w:rsidR="00BC592A" w:rsidRPr="00DA1EBD">
        <w:rPr>
          <w:rFonts w:ascii="Cambria" w:hAnsi="Cambria"/>
          <w:sz w:val="20"/>
          <w:szCs w:val="20"/>
        </w:rPr>
        <w:t xml:space="preserve"> that before leaving, they murdered Mr. Luis Carlos Cantillo Bravo, Mr. Enrique Enrique Cantillo Moreno, Mr. Pedro Ramón Cantillo Moreno, Mr. Abel Antonio Cantillo Moreno and Mr. Anuar Samper Miranda, </w:t>
      </w:r>
      <w:r w:rsidRPr="00DA1EBD">
        <w:rPr>
          <w:rFonts w:ascii="Cambria" w:hAnsi="Cambria"/>
          <w:sz w:val="20"/>
          <w:szCs w:val="20"/>
        </w:rPr>
        <w:t>leaving</w:t>
      </w:r>
      <w:r w:rsidR="00523113" w:rsidRPr="00DA1EBD">
        <w:rPr>
          <w:rFonts w:ascii="Cambria" w:hAnsi="Cambria"/>
          <w:sz w:val="20"/>
          <w:szCs w:val="20"/>
        </w:rPr>
        <w:t xml:space="preserve"> their corpses next to </w:t>
      </w:r>
      <w:r w:rsidR="00B471CD">
        <w:rPr>
          <w:rFonts w:ascii="Cambria" w:hAnsi="Cambria"/>
          <w:sz w:val="20"/>
          <w:szCs w:val="20"/>
        </w:rPr>
        <w:t>a cottage</w:t>
      </w:r>
      <w:r w:rsidR="00BC592A" w:rsidRPr="00DA1EBD">
        <w:rPr>
          <w:rFonts w:ascii="Cambria" w:hAnsi="Cambria"/>
          <w:sz w:val="20"/>
          <w:szCs w:val="20"/>
        </w:rPr>
        <w:t>.</w:t>
      </w:r>
    </w:p>
    <w:p w14:paraId="444FD570" w14:textId="3007632C" w:rsidR="007D0305" w:rsidRPr="00DA1EBD" w:rsidRDefault="00C14867"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A1EBD">
        <w:rPr>
          <w:rFonts w:ascii="Cambria" w:hAnsi="Cambria"/>
          <w:sz w:val="20"/>
          <w:szCs w:val="20"/>
        </w:rPr>
        <w:t xml:space="preserve">He </w:t>
      </w:r>
      <w:r w:rsidR="00523113" w:rsidRPr="00DA1EBD">
        <w:rPr>
          <w:rFonts w:ascii="Cambria" w:hAnsi="Cambria"/>
          <w:sz w:val="20"/>
          <w:szCs w:val="20"/>
        </w:rPr>
        <w:t>alleges</w:t>
      </w:r>
      <w:r w:rsidR="00BC592A" w:rsidRPr="00DA1EBD">
        <w:rPr>
          <w:rFonts w:ascii="Cambria" w:hAnsi="Cambria"/>
          <w:sz w:val="20"/>
          <w:szCs w:val="20"/>
        </w:rPr>
        <w:t xml:space="preserve"> that the self-defense group </w:t>
      </w:r>
      <w:r w:rsidR="00523113" w:rsidRPr="00DA1EBD">
        <w:rPr>
          <w:rFonts w:ascii="Cambria" w:hAnsi="Cambria"/>
          <w:sz w:val="20"/>
          <w:szCs w:val="20"/>
        </w:rPr>
        <w:t>departed</w:t>
      </w:r>
      <w:r w:rsidR="00BC592A" w:rsidRPr="00DA1EBD">
        <w:rPr>
          <w:rFonts w:ascii="Cambria" w:hAnsi="Cambria"/>
          <w:sz w:val="20"/>
          <w:szCs w:val="20"/>
        </w:rPr>
        <w:t xml:space="preserve"> for Bocas de Aracataca with </w:t>
      </w:r>
      <w:r w:rsidRPr="00DA1EBD">
        <w:rPr>
          <w:rFonts w:ascii="Cambria" w:hAnsi="Cambria"/>
          <w:sz w:val="20"/>
          <w:szCs w:val="20"/>
        </w:rPr>
        <w:t xml:space="preserve">a hostage, </w:t>
      </w:r>
      <w:r w:rsidR="00BC592A" w:rsidRPr="00DA1EBD">
        <w:rPr>
          <w:rFonts w:ascii="Cambria" w:hAnsi="Cambria"/>
          <w:sz w:val="20"/>
          <w:szCs w:val="20"/>
        </w:rPr>
        <w:t>Mr. Adolfo Rafael Moreno Lara</w:t>
      </w:r>
      <w:r w:rsidR="003879AB" w:rsidRPr="00DA1EBD">
        <w:rPr>
          <w:rFonts w:ascii="Cambria" w:hAnsi="Cambria"/>
          <w:sz w:val="20"/>
          <w:szCs w:val="20"/>
        </w:rPr>
        <w:t>. He relates that on the</w:t>
      </w:r>
      <w:r w:rsidR="00BC592A" w:rsidRPr="00DA1EBD">
        <w:rPr>
          <w:rFonts w:ascii="Cambria" w:hAnsi="Cambria"/>
          <w:sz w:val="20"/>
          <w:szCs w:val="20"/>
        </w:rPr>
        <w:t xml:space="preserve"> way they passed through the Ciénaga Grande sector where they also </w:t>
      </w:r>
      <w:r w:rsidR="00523113" w:rsidRPr="00DA1EBD">
        <w:rPr>
          <w:rFonts w:ascii="Cambria" w:hAnsi="Cambria"/>
          <w:sz w:val="20"/>
          <w:szCs w:val="20"/>
        </w:rPr>
        <w:t>captured</w:t>
      </w:r>
      <w:r w:rsidR="00BC592A" w:rsidRPr="00DA1EBD">
        <w:rPr>
          <w:rFonts w:ascii="Cambria" w:hAnsi="Cambria"/>
          <w:sz w:val="20"/>
          <w:szCs w:val="20"/>
        </w:rPr>
        <w:t xml:space="preserve"> fishermen in their </w:t>
      </w:r>
      <w:r w:rsidR="00523113" w:rsidRPr="00DA1EBD">
        <w:rPr>
          <w:rFonts w:ascii="Cambria" w:hAnsi="Cambria"/>
          <w:sz w:val="20"/>
          <w:szCs w:val="20"/>
        </w:rPr>
        <w:t>outboard canoes, kidnapped</w:t>
      </w:r>
      <w:r w:rsidR="00BC592A" w:rsidRPr="00DA1EBD">
        <w:rPr>
          <w:rFonts w:ascii="Cambria" w:hAnsi="Cambria"/>
          <w:sz w:val="20"/>
          <w:szCs w:val="20"/>
        </w:rPr>
        <w:t xml:space="preserve"> Ángel Se</w:t>
      </w:r>
      <w:r w:rsidR="00523113" w:rsidRPr="00DA1EBD">
        <w:rPr>
          <w:rFonts w:ascii="Cambria" w:hAnsi="Cambria"/>
          <w:sz w:val="20"/>
          <w:szCs w:val="20"/>
        </w:rPr>
        <w:t>gundo Rodríguez Sampery, and killed</w:t>
      </w:r>
      <w:r w:rsidR="00BC592A" w:rsidRPr="00DA1EBD">
        <w:rPr>
          <w:rFonts w:ascii="Cambria" w:hAnsi="Cambria"/>
          <w:sz w:val="20"/>
          <w:szCs w:val="20"/>
        </w:rPr>
        <w:t xml:space="preserve"> Juan Pablo Moreno Borne, whose body was found 4 days later. He </w:t>
      </w:r>
      <w:r w:rsidR="00946F23" w:rsidRPr="00DA1EBD">
        <w:rPr>
          <w:rFonts w:ascii="Cambria" w:hAnsi="Cambria"/>
          <w:sz w:val="20"/>
          <w:szCs w:val="20"/>
        </w:rPr>
        <w:t>points out</w:t>
      </w:r>
      <w:r w:rsidR="00BC592A" w:rsidRPr="00DA1EBD">
        <w:rPr>
          <w:rFonts w:ascii="Cambria" w:hAnsi="Cambria"/>
          <w:sz w:val="20"/>
          <w:szCs w:val="20"/>
        </w:rPr>
        <w:t xml:space="preserve"> that they arrived at the </w:t>
      </w:r>
      <w:r w:rsidR="00946F23" w:rsidRPr="00DA1EBD">
        <w:rPr>
          <w:rFonts w:ascii="Cambria" w:hAnsi="Cambria"/>
          <w:sz w:val="20"/>
          <w:szCs w:val="20"/>
        </w:rPr>
        <w:t>district at</w:t>
      </w:r>
      <w:r w:rsidR="00523113" w:rsidRPr="00DA1EBD">
        <w:rPr>
          <w:rFonts w:ascii="Cambria" w:hAnsi="Cambria"/>
          <w:sz w:val="20"/>
          <w:szCs w:val="20"/>
        </w:rPr>
        <w:t xml:space="preserve"> around 3:00</w:t>
      </w:r>
      <w:r w:rsidR="00092C50">
        <w:rPr>
          <w:rFonts w:ascii="Cambria" w:hAnsi="Cambria"/>
          <w:sz w:val="20"/>
          <w:szCs w:val="20"/>
        </w:rPr>
        <w:t xml:space="preserve"> </w:t>
      </w:r>
      <w:r w:rsidR="00BC592A" w:rsidRPr="00DA1EBD">
        <w:rPr>
          <w:rFonts w:ascii="Cambria" w:hAnsi="Cambria"/>
          <w:sz w:val="20"/>
          <w:szCs w:val="20"/>
        </w:rPr>
        <w:t>p.m. in 5 boats and 2 canoes and called a meeting in the main square, which was attended by more t</w:t>
      </w:r>
      <w:r w:rsidR="00B471CD">
        <w:rPr>
          <w:rFonts w:ascii="Cambria" w:hAnsi="Cambria"/>
          <w:sz w:val="20"/>
          <w:szCs w:val="20"/>
        </w:rPr>
        <w:t xml:space="preserve">han a thousand </w:t>
      </w:r>
      <w:r w:rsidR="00523113" w:rsidRPr="00DA1EBD">
        <w:rPr>
          <w:rFonts w:ascii="Cambria" w:hAnsi="Cambria"/>
          <w:sz w:val="20"/>
          <w:szCs w:val="20"/>
        </w:rPr>
        <w:t>habitants</w:t>
      </w:r>
      <w:r w:rsidR="00946F23" w:rsidRPr="00DA1EBD">
        <w:rPr>
          <w:rFonts w:ascii="Cambria" w:hAnsi="Cambria"/>
          <w:sz w:val="20"/>
          <w:szCs w:val="20"/>
        </w:rPr>
        <w:t>. He maintains</w:t>
      </w:r>
      <w:r w:rsidR="00BC592A" w:rsidRPr="00DA1EBD">
        <w:rPr>
          <w:rFonts w:ascii="Cambria" w:hAnsi="Cambria"/>
          <w:sz w:val="20"/>
          <w:szCs w:val="20"/>
        </w:rPr>
        <w:t xml:space="preserve"> that the paramilitaries </w:t>
      </w:r>
      <w:r w:rsidR="00946F23" w:rsidRPr="00DA1EBD">
        <w:rPr>
          <w:rFonts w:ascii="Cambria" w:hAnsi="Cambria"/>
          <w:sz w:val="20"/>
          <w:szCs w:val="20"/>
        </w:rPr>
        <w:t xml:space="preserve">specifically </w:t>
      </w:r>
      <w:r w:rsidR="00523113" w:rsidRPr="00DA1EBD">
        <w:rPr>
          <w:rFonts w:ascii="Cambria" w:hAnsi="Cambria"/>
          <w:sz w:val="20"/>
          <w:szCs w:val="20"/>
        </w:rPr>
        <w:t>sought and identified</w:t>
      </w:r>
      <w:r w:rsidR="00946F23" w:rsidRPr="00DA1EBD">
        <w:rPr>
          <w:rFonts w:ascii="Cambria" w:hAnsi="Cambria"/>
          <w:sz w:val="20"/>
          <w:szCs w:val="20"/>
        </w:rPr>
        <w:t xml:space="preserve"> </w:t>
      </w:r>
      <w:r w:rsidR="00BC592A" w:rsidRPr="00DA1EBD">
        <w:rPr>
          <w:rFonts w:ascii="Cambria" w:hAnsi="Cambria"/>
          <w:sz w:val="20"/>
          <w:szCs w:val="20"/>
        </w:rPr>
        <w:t>Mr. Pedro Celestino Pacheco Camargo and Mr. Arturo Enrique Pa</w:t>
      </w:r>
      <w:r w:rsidR="00B471CD">
        <w:rPr>
          <w:rFonts w:ascii="Cambria" w:hAnsi="Cambria"/>
          <w:sz w:val="20"/>
          <w:szCs w:val="20"/>
        </w:rPr>
        <w:t>checo Niebles among the people</w:t>
      </w:r>
      <w:r w:rsidR="00946F23" w:rsidRPr="00DA1EBD">
        <w:rPr>
          <w:rFonts w:ascii="Cambria" w:hAnsi="Cambria"/>
          <w:sz w:val="20"/>
          <w:szCs w:val="20"/>
        </w:rPr>
        <w:t>.  They subsequently</w:t>
      </w:r>
      <w:r w:rsidR="00BC592A" w:rsidRPr="00DA1EBD">
        <w:rPr>
          <w:rFonts w:ascii="Cambria" w:hAnsi="Cambria"/>
          <w:sz w:val="20"/>
          <w:szCs w:val="20"/>
        </w:rPr>
        <w:t xml:space="preserve"> ordered t</w:t>
      </w:r>
      <w:r w:rsidR="00523113" w:rsidRPr="00DA1EBD">
        <w:rPr>
          <w:rFonts w:ascii="Cambria" w:hAnsi="Cambria"/>
          <w:sz w:val="20"/>
          <w:szCs w:val="20"/>
        </w:rPr>
        <w:t>he women and the children to go and stay in their homes.</w:t>
      </w:r>
      <w:r w:rsidR="00BC592A" w:rsidRPr="00DA1EBD">
        <w:rPr>
          <w:rFonts w:ascii="Cambria" w:hAnsi="Cambria"/>
          <w:sz w:val="20"/>
          <w:szCs w:val="20"/>
        </w:rPr>
        <w:t xml:space="preserve"> </w:t>
      </w:r>
      <w:r w:rsidR="00946F23" w:rsidRPr="00DA1EBD">
        <w:rPr>
          <w:rFonts w:ascii="Cambria" w:hAnsi="Cambria"/>
          <w:sz w:val="20"/>
          <w:szCs w:val="20"/>
        </w:rPr>
        <w:t>He</w:t>
      </w:r>
      <w:r w:rsidR="00BC592A" w:rsidRPr="00DA1EBD">
        <w:rPr>
          <w:rFonts w:ascii="Cambria" w:hAnsi="Cambria"/>
          <w:sz w:val="20"/>
          <w:szCs w:val="20"/>
        </w:rPr>
        <w:t xml:space="preserve"> indicates that more than 100 men were locked </w:t>
      </w:r>
      <w:r w:rsidR="00523113" w:rsidRPr="00DA1EBD">
        <w:rPr>
          <w:rFonts w:ascii="Cambria" w:hAnsi="Cambria"/>
          <w:sz w:val="20"/>
          <w:szCs w:val="20"/>
        </w:rPr>
        <w:t>u</w:t>
      </w:r>
      <w:r w:rsidR="00BC592A" w:rsidRPr="00DA1EBD">
        <w:rPr>
          <w:rFonts w:ascii="Cambria" w:hAnsi="Cambria"/>
          <w:sz w:val="20"/>
          <w:szCs w:val="20"/>
        </w:rPr>
        <w:t xml:space="preserve">p in the church for the entire night, except </w:t>
      </w:r>
      <w:r w:rsidR="00946F23" w:rsidRPr="00DA1EBD">
        <w:rPr>
          <w:rFonts w:ascii="Cambria" w:hAnsi="Cambria"/>
          <w:sz w:val="20"/>
          <w:szCs w:val="20"/>
        </w:rPr>
        <w:t xml:space="preserve">for </w:t>
      </w:r>
      <w:r w:rsidR="00BC592A" w:rsidRPr="00DA1EBD">
        <w:rPr>
          <w:rFonts w:ascii="Cambria" w:hAnsi="Cambria"/>
          <w:sz w:val="20"/>
          <w:szCs w:val="20"/>
        </w:rPr>
        <w:t xml:space="preserve">Messrs. Adolfo Rafael Moreno Lara, Ángel Segundo Rodríguez Samper, Pedro Celestino Pacheco Camargo and Arturo Enrique Pacheco Niebles, who were </w:t>
      </w:r>
      <w:r w:rsidR="00523113" w:rsidRPr="00DA1EBD">
        <w:rPr>
          <w:rFonts w:ascii="Cambria" w:hAnsi="Cambria"/>
          <w:sz w:val="20"/>
          <w:szCs w:val="20"/>
        </w:rPr>
        <w:t>held</w:t>
      </w:r>
      <w:r w:rsidR="00BC592A" w:rsidRPr="00DA1EBD">
        <w:rPr>
          <w:rFonts w:ascii="Cambria" w:hAnsi="Cambria"/>
          <w:sz w:val="20"/>
          <w:szCs w:val="20"/>
        </w:rPr>
        <w:t xml:space="preserve"> at the Police </w:t>
      </w:r>
      <w:r w:rsidR="00946F23" w:rsidRPr="00DA1EBD">
        <w:rPr>
          <w:rFonts w:ascii="Cambria" w:hAnsi="Cambria"/>
          <w:sz w:val="20"/>
          <w:szCs w:val="20"/>
        </w:rPr>
        <w:t>Station</w:t>
      </w:r>
      <w:r w:rsidR="00BC592A" w:rsidRPr="00DA1EBD">
        <w:rPr>
          <w:rFonts w:ascii="Cambria" w:hAnsi="Cambria"/>
          <w:sz w:val="20"/>
          <w:szCs w:val="20"/>
        </w:rPr>
        <w:t xml:space="preserve">. </w:t>
      </w:r>
      <w:r w:rsidR="00946F23" w:rsidRPr="00DA1EBD">
        <w:rPr>
          <w:rFonts w:ascii="Cambria" w:hAnsi="Cambria"/>
          <w:sz w:val="20"/>
          <w:szCs w:val="20"/>
        </w:rPr>
        <w:t>Lastly, he states</w:t>
      </w:r>
      <w:r w:rsidR="00BC592A" w:rsidRPr="00DA1EBD">
        <w:rPr>
          <w:rFonts w:ascii="Cambria" w:hAnsi="Cambria"/>
          <w:sz w:val="20"/>
          <w:szCs w:val="20"/>
        </w:rPr>
        <w:t xml:space="preserve"> that the aforementioned four alleged victims were tortured and killed </w:t>
      </w:r>
      <w:r w:rsidR="00946F23" w:rsidRPr="00DA1EBD">
        <w:rPr>
          <w:rFonts w:ascii="Cambria" w:hAnsi="Cambria"/>
          <w:sz w:val="20"/>
          <w:szCs w:val="20"/>
        </w:rPr>
        <w:t>in</w:t>
      </w:r>
      <w:r w:rsidR="00BC592A" w:rsidRPr="00DA1EBD">
        <w:rPr>
          <w:rFonts w:ascii="Cambria" w:hAnsi="Cambria"/>
          <w:sz w:val="20"/>
          <w:szCs w:val="20"/>
        </w:rPr>
        <w:t xml:space="preserve"> the early hours of February 11, 2000.</w:t>
      </w:r>
    </w:p>
    <w:p w14:paraId="596FDD3F" w14:textId="7E312496" w:rsidR="007D0305" w:rsidRPr="00DA1EBD" w:rsidRDefault="003413A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A1EBD">
        <w:rPr>
          <w:rFonts w:ascii="Cambria" w:hAnsi="Cambria"/>
          <w:sz w:val="20"/>
          <w:szCs w:val="20"/>
        </w:rPr>
        <w:t>He alleges</w:t>
      </w:r>
      <w:r w:rsidR="00BC592A" w:rsidRPr="00DA1EBD">
        <w:rPr>
          <w:rFonts w:ascii="Cambria" w:hAnsi="Cambria"/>
          <w:sz w:val="20"/>
          <w:szCs w:val="20"/>
        </w:rPr>
        <w:t xml:space="preserve"> that the entire village was looted and that the </w:t>
      </w:r>
      <w:r w:rsidR="00523113" w:rsidRPr="00DA1EBD">
        <w:rPr>
          <w:rFonts w:ascii="Cambria" w:hAnsi="Cambria"/>
          <w:sz w:val="20"/>
          <w:szCs w:val="20"/>
        </w:rPr>
        <w:t>AUCU acronym and aims were painted on the walls.</w:t>
      </w:r>
      <w:r w:rsidR="00BC592A" w:rsidRPr="00DA1EBD">
        <w:rPr>
          <w:rFonts w:ascii="Cambria" w:hAnsi="Cambria"/>
          <w:sz w:val="20"/>
          <w:szCs w:val="20"/>
        </w:rPr>
        <w:t xml:space="preserve"> He also indica</w:t>
      </w:r>
      <w:r w:rsidR="00523113" w:rsidRPr="00DA1EBD">
        <w:rPr>
          <w:rFonts w:ascii="Cambria" w:hAnsi="Cambria"/>
          <w:sz w:val="20"/>
          <w:szCs w:val="20"/>
        </w:rPr>
        <w:t xml:space="preserve">tes that they took the town’s official </w:t>
      </w:r>
      <w:r w:rsidR="00DA1EBD" w:rsidRPr="00DA1EBD">
        <w:rPr>
          <w:rFonts w:ascii="Cambria" w:hAnsi="Cambria"/>
          <w:sz w:val="20"/>
          <w:szCs w:val="20"/>
        </w:rPr>
        <w:t>boat that</w:t>
      </w:r>
      <w:r w:rsidR="00536EAE" w:rsidRPr="00DA1EBD">
        <w:rPr>
          <w:rFonts w:ascii="Cambria" w:hAnsi="Cambria"/>
          <w:sz w:val="20"/>
          <w:szCs w:val="20"/>
        </w:rPr>
        <w:t xml:space="preserve"> </w:t>
      </w:r>
      <w:r w:rsidR="003337E3" w:rsidRPr="00DA1EBD">
        <w:rPr>
          <w:rFonts w:ascii="Cambria" w:hAnsi="Cambria"/>
          <w:sz w:val="20"/>
          <w:szCs w:val="20"/>
        </w:rPr>
        <w:t xml:space="preserve">was used </w:t>
      </w:r>
      <w:r w:rsidR="00BC592A" w:rsidRPr="00DA1EBD">
        <w:rPr>
          <w:rFonts w:ascii="Cambria" w:hAnsi="Cambria"/>
          <w:sz w:val="20"/>
          <w:szCs w:val="20"/>
        </w:rPr>
        <w:t>as an ambulance</w:t>
      </w:r>
      <w:r w:rsidR="003337E3" w:rsidRPr="00DA1EBD">
        <w:rPr>
          <w:rFonts w:ascii="Cambria" w:hAnsi="Cambria"/>
          <w:sz w:val="20"/>
          <w:szCs w:val="20"/>
        </w:rPr>
        <w:t>.</w:t>
      </w:r>
      <w:r w:rsidR="00BC592A" w:rsidRPr="00DA1EBD">
        <w:rPr>
          <w:rFonts w:ascii="Cambria" w:hAnsi="Cambria"/>
          <w:sz w:val="20"/>
          <w:szCs w:val="20"/>
        </w:rPr>
        <w:t xml:space="preserve"> </w:t>
      </w:r>
      <w:r w:rsidR="003337E3" w:rsidRPr="00DA1EBD">
        <w:rPr>
          <w:rFonts w:ascii="Cambria" w:hAnsi="Cambria"/>
          <w:sz w:val="20"/>
          <w:szCs w:val="20"/>
        </w:rPr>
        <w:t>To that effect they</w:t>
      </w:r>
      <w:r w:rsidR="00BC592A" w:rsidRPr="00DA1EBD">
        <w:rPr>
          <w:rFonts w:ascii="Cambria" w:hAnsi="Cambria"/>
          <w:sz w:val="20"/>
          <w:szCs w:val="20"/>
        </w:rPr>
        <w:t xml:space="preserve"> selected Mr. Gabriel Enrique Moreno Garizabalo</w:t>
      </w:r>
      <w:r w:rsidR="00536EAE" w:rsidRPr="00DA1EBD">
        <w:rPr>
          <w:rFonts w:ascii="Cambria" w:hAnsi="Cambria"/>
          <w:sz w:val="20"/>
          <w:szCs w:val="20"/>
        </w:rPr>
        <w:t xml:space="preserve"> </w:t>
      </w:r>
      <w:r w:rsidR="003337E3" w:rsidRPr="00DA1EBD">
        <w:rPr>
          <w:rFonts w:ascii="Cambria" w:hAnsi="Cambria"/>
          <w:sz w:val="20"/>
          <w:szCs w:val="20"/>
        </w:rPr>
        <w:t>at random to drive it</w:t>
      </w:r>
      <w:r w:rsidR="00536EAE" w:rsidRPr="00DA1EBD">
        <w:rPr>
          <w:rFonts w:ascii="Cambria" w:hAnsi="Cambria"/>
          <w:sz w:val="20"/>
          <w:szCs w:val="20"/>
        </w:rPr>
        <w:t xml:space="preserve">.  The petitioner indicates that his body was subsequently found in </w:t>
      </w:r>
      <w:r w:rsidR="00BC592A" w:rsidRPr="00DA1EBD">
        <w:rPr>
          <w:rFonts w:ascii="Cambria" w:hAnsi="Cambria"/>
          <w:sz w:val="20"/>
          <w:szCs w:val="20"/>
        </w:rPr>
        <w:t xml:space="preserve">the Cabaña del Hobo. He points out that the hostages in the Church were released just before the </w:t>
      </w:r>
      <w:r w:rsidR="00723259" w:rsidRPr="00DA1EBD">
        <w:rPr>
          <w:rFonts w:ascii="Cambria" w:hAnsi="Cambria"/>
          <w:sz w:val="20"/>
          <w:szCs w:val="20"/>
        </w:rPr>
        <w:t>AUCU</w:t>
      </w:r>
      <w:r w:rsidR="00BC592A" w:rsidRPr="00DA1EBD">
        <w:rPr>
          <w:rFonts w:ascii="Cambria" w:hAnsi="Cambria"/>
          <w:sz w:val="20"/>
          <w:szCs w:val="20"/>
        </w:rPr>
        <w:t xml:space="preserve"> members </w:t>
      </w:r>
      <w:r w:rsidR="00723259" w:rsidRPr="00DA1EBD">
        <w:rPr>
          <w:rFonts w:ascii="Cambria" w:hAnsi="Cambria"/>
          <w:sz w:val="20"/>
          <w:szCs w:val="20"/>
        </w:rPr>
        <w:t>left</w:t>
      </w:r>
      <w:r w:rsidR="00BC592A" w:rsidRPr="00DA1EBD">
        <w:rPr>
          <w:rFonts w:ascii="Cambria" w:hAnsi="Cambria"/>
          <w:sz w:val="20"/>
          <w:szCs w:val="20"/>
        </w:rPr>
        <w:t xml:space="preserve">. </w:t>
      </w:r>
      <w:r w:rsidR="00723259" w:rsidRPr="00DA1EBD">
        <w:rPr>
          <w:rFonts w:ascii="Cambria" w:hAnsi="Cambria"/>
          <w:sz w:val="20"/>
          <w:szCs w:val="20"/>
        </w:rPr>
        <w:t>He alleges</w:t>
      </w:r>
      <w:r w:rsidR="00BC592A" w:rsidRPr="00DA1EBD">
        <w:rPr>
          <w:rFonts w:ascii="Cambria" w:hAnsi="Cambria"/>
          <w:sz w:val="20"/>
          <w:szCs w:val="20"/>
        </w:rPr>
        <w:t xml:space="preserve"> that </w:t>
      </w:r>
      <w:r w:rsidR="00723259" w:rsidRPr="00DA1EBD">
        <w:rPr>
          <w:rFonts w:ascii="Cambria" w:hAnsi="Cambria"/>
          <w:sz w:val="20"/>
          <w:szCs w:val="20"/>
        </w:rPr>
        <w:t>while these events were unfolding,</w:t>
      </w:r>
      <w:r w:rsidR="00BC592A" w:rsidRPr="00DA1EBD">
        <w:rPr>
          <w:rFonts w:ascii="Cambria" w:hAnsi="Cambria"/>
          <w:sz w:val="20"/>
          <w:szCs w:val="20"/>
        </w:rPr>
        <w:t xml:space="preserve"> </w:t>
      </w:r>
      <w:r w:rsidR="00723259" w:rsidRPr="00DA1EBD">
        <w:rPr>
          <w:rFonts w:ascii="Cambria" w:hAnsi="Cambria"/>
          <w:sz w:val="20"/>
          <w:szCs w:val="20"/>
        </w:rPr>
        <w:t xml:space="preserve">the Security Forces </w:t>
      </w:r>
      <w:r w:rsidR="003337E3" w:rsidRPr="00DA1EBD">
        <w:rPr>
          <w:rFonts w:ascii="Cambria" w:hAnsi="Cambria"/>
          <w:sz w:val="20"/>
          <w:szCs w:val="20"/>
        </w:rPr>
        <w:t>were not present</w:t>
      </w:r>
      <w:r w:rsidR="00723259" w:rsidRPr="00DA1EBD">
        <w:rPr>
          <w:rFonts w:ascii="Cambria" w:hAnsi="Cambria"/>
          <w:sz w:val="20"/>
          <w:szCs w:val="20"/>
        </w:rPr>
        <w:t xml:space="preserve"> in the district.  He</w:t>
      </w:r>
      <w:r w:rsidR="00BC592A" w:rsidRPr="00DA1EBD">
        <w:rPr>
          <w:rFonts w:ascii="Cambria" w:hAnsi="Cambria"/>
          <w:sz w:val="20"/>
          <w:szCs w:val="20"/>
        </w:rPr>
        <w:t xml:space="preserve"> points out </w:t>
      </w:r>
      <w:r w:rsidR="003337E3" w:rsidRPr="00DA1EBD">
        <w:rPr>
          <w:rFonts w:ascii="Cambria" w:hAnsi="Cambria"/>
          <w:sz w:val="20"/>
          <w:szCs w:val="20"/>
        </w:rPr>
        <w:t xml:space="preserve">that </w:t>
      </w:r>
      <w:r w:rsidR="00BC592A" w:rsidRPr="00DA1EBD">
        <w:rPr>
          <w:rFonts w:ascii="Cambria" w:hAnsi="Cambria"/>
          <w:sz w:val="20"/>
          <w:szCs w:val="20"/>
        </w:rPr>
        <w:t xml:space="preserve">the precise identification of the alleged </w:t>
      </w:r>
      <w:r w:rsidR="003337E3" w:rsidRPr="00DA1EBD">
        <w:rPr>
          <w:rFonts w:ascii="Cambria" w:hAnsi="Cambria"/>
          <w:sz w:val="20"/>
          <w:szCs w:val="20"/>
        </w:rPr>
        <w:t xml:space="preserve">murdered </w:t>
      </w:r>
      <w:r w:rsidR="00BC592A" w:rsidRPr="00DA1EBD">
        <w:rPr>
          <w:rFonts w:ascii="Cambria" w:hAnsi="Cambria"/>
          <w:sz w:val="20"/>
          <w:szCs w:val="20"/>
        </w:rPr>
        <w:t xml:space="preserve">victims and </w:t>
      </w:r>
      <w:r w:rsidR="00723259" w:rsidRPr="00DA1EBD">
        <w:rPr>
          <w:rFonts w:ascii="Cambria" w:hAnsi="Cambria"/>
          <w:sz w:val="20"/>
          <w:szCs w:val="20"/>
        </w:rPr>
        <w:t>the armed group</w:t>
      </w:r>
      <w:r w:rsidR="003337E3" w:rsidRPr="00DA1EBD">
        <w:rPr>
          <w:rFonts w:ascii="Cambria" w:hAnsi="Cambria"/>
          <w:sz w:val="20"/>
          <w:szCs w:val="20"/>
        </w:rPr>
        <w:t>’s threats,</w:t>
      </w:r>
      <w:r w:rsidR="00723259" w:rsidRPr="00DA1EBD">
        <w:rPr>
          <w:rFonts w:ascii="Cambria" w:hAnsi="Cambria"/>
          <w:sz w:val="20"/>
          <w:szCs w:val="20"/>
        </w:rPr>
        <w:t xml:space="preserve"> caused a</w:t>
      </w:r>
      <w:r w:rsidR="00BC592A" w:rsidRPr="00DA1EBD">
        <w:rPr>
          <w:rFonts w:ascii="Cambria" w:hAnsi="Cambria"/>
          <w:sz w:val="20"/>
          <w:szCs w:val="20"/>
        </w:rPr>
        <w:t xml:space="preserve"> massive forced displacement of ar</w:t>
      </w:r>
      <w:r w:rsidR="00723259" w:rsidRPr="00DA1EBD">
        <w:rPr>
          <w:rFonts w:ascii="Cambria" w:hAnsi="Cambria"/>
          <w:sz w:val="20"/>
          <w:szCs w:val="20"/>
        </w:rPr>
        <w:t xml:space="preserve">ound 200 family groups, </w:t>
      </w:r>
      <w:r w:rsidR="003337E3" w:rsidRPr="00DA1EBD">
        <w:rPr>
          <w:rFonts w:ascii="Cambria" w:hAnsi="Cambria"/>
          <w:sz w:val="20"/>
          <w:szCs w:val="20"/>
        </w:rPr>
        <w:t>amounting to over a thousand individuals</w:t>
      </w:r>
      <w:r w:rsidR="00BC592A" w:rsidRPr="00DA1EBD">
        <w:rPr>
          <w:rFonts w:ascii="Cambria" w:hAnsi="Cambria"/>
          <w:sz w:val="20"/>
          <w:szCs w:val="20"/>
        </w:rPr>
        <w:t>, more than half of whom were minors</w:t>
      </w:r>
      <w:r w:rsidR="00723259" w:rsidRPr="00DA1EBD">
        <w:rPr>
          <w:rFonts w:ascii="Cambria" w:hAnsi="Cambria"/>
          <w:sz w:val="20"/>
          <w:szCs w:val="20"/>
        </w:rPr>
        <w:t>.</w:t>
      </w:r>
      <w:r w:rsidR="00BC592A" w:rsidRPr="00DA1EBD">
        <w:rPr>
          <w:rFonts w:ascii="Cambria" w:hAnsi="Cambria"/>
          <w:sz w:val="20"/>
          <w:szCs w:val="20"/>
        </w:rPr>
        <w:t xml:space="preserve"> </w:t>
      </w:r>
      <w:r w:rsidR="00723259" w:rsidRPr="00DA1EBD">
        <w:rPr>
          <w:rFonts w:ascii="Cambria" w:hAnsi="Cambria"/>
          <w:sz w:val="20"/>
          <w:szCs w:val="20"/>
        </w:rPr>
        <w:t>He s</w:t>
      </w:r>
      <w:r w:rsidR="00BC592A" w:rsidRPr="00DA1EBD">
        <w:rPr>
          <w:rFonts w:ascii="Cambria" w:hAnsi="Cambria"/>
          <w:sz w:val="20"/>
          <w:szCs w:val="20"/>
        </w:rPr>
        <w:t xml:space="preserve">tresses that the </w:t>
      </w:r>
      <w:r w:rsidR="00723259" w:rsidRPr="00DA1EBD">
        <w:rPr>
          <w:rFonts w:ascii="Cambria" w:hAnsi="Cambria"/>
          <w:sz w:val="20"/>
          <w:szCs w:val="20"/>
        </w:rPr>
        <w:lastRenderedPageBreak/>
        <w:t>district</w:t>
      </w:r>
      <w:r w:rsidR="00BC592A" w:rsidRPr="00DA1EBD">
        <w:rPr>
          <w:rFonts w:ascii="Cambria" w:hAnsi="Cambria"/>
          <w:sz w:val="20"/>
          <w:szCs w:val="20"/>
        </w:rPr>
        <w:t xml:space="preserve"> of Bocas de Aracataca practically disappeared because 90% of </w:t>
      </w:r>
      <w:r w:rsidR="00723259" w:rsidRPr="00DA1EBD">
        <w:rPr>
          <w:rFonts w:ascii="Cambria" w:hAnsi="Cambria"/>
          <w:sz w:val="20"/>
          <w:szCs w:val="20"/>
        </w:rPr>
        <w:t>its</w:t>
      </w:r>
      <w:r w:rsidR="00BC592A" w:rsidRPr="00DA1EBD">
        <w:rPr>
          <w:rFonts w:ascii="Cambria" w:hAnsi="Cambria"/>
          <w:sz w:val="20"/>
          <w:szCs w:val="20"/>
        </w:rPr>
        <w:t xml:space="preserve"> houses are unoccupied, </w:t>
      </w:r>
      <w:r w:rsidR="003337E3" w:rsidRPr="00DA1EBD">
        <w:rPr>
          <w:rFonts w:ascii="Cambria" w:hAnsi="Cambria"/>
          <w:sz w:val="20"/>
          <w:szCs w:val="20"/>
        </w:rPr>
        <w:t xml:space="preserve">and </w:t>
      </w:r>
      <w:r w:rsidR="00BC592A" w:rsidRPr="00DA1EBD">
        <w:rPr>
          <w:rFonts w:ascii="Cambria" w:hAnsi="Cambria"/>
          <w:sz w:val="20"/>
          <w:szCs w:val="20"/>
        </w:rPr>
        <w:t xml:space="preserve">religious services </w:t>
      </w:r>
      <w:r w:rsidR="003337E3" w:rsidRPr="00DA1EBD">
        <w:rPr>
          <w:rFonts w:ascii="Cambria" w:hAnsi="Cambria"/>
          <w:sz w:val="20"/>
          <w:szCs w:val="20"/>
        </w:rPr>
        <w:t>ceased. T</w:t>
      </w:r>
      <w:r w:rsidR="00BC592A" w:rsidRPr="00DA1EBD">
        <w:rPr>
          <w:rFonts w:ascii="Cambria" w:hAnsi="Cambria"/>
          <w:sz w:val="20"/>
          <w:szCs w:val="20"/>
        </w:rPr>
        <w:t>here is no electricity</w:t>
      </w:r>
      <w:r w:rsidR="00723259" w:rsidRPr="00DA1EBD">
        <w:rPr>
          <w:rFonts w:ascii="Cambria" w:hAnsi="Cambria"/>
          <w:sz w:val="20"/>
          <w:szCs w:val="20"/>
        </w:rPr>
        <w:t xml:space="preserve">, </w:t>
      </w:r>
      <w:r w:rsidR="003337E3" w:rsidRPr="00DA1EBD">
        <w:rPr>
          <w:rFonts w:ascii="Cambria" w:hAnsi="Cambria"/>
          <w:sz w:val="20"/>
          <w:szCs w:val="20"/>
        </w:rPr>
        <w:t xml:space="preserve">and therefore there are not </w:t>
      </w:r>
      <w:r w:rsidR="00723259" w:rsidRPr="00DA1EBD">
        <w:rPr>
          <w:rFonts w:ascii="Cambria" w:hAnsi="Cambria"/>
          <w:sz w:val="20"/>
          <w:szCs w:val="20"/>
        </w:rPr>
        <w:t>markets or commerce</w:t>
      </w:r>
      <w:r w:rsidR="00BC592A" w:rsidRPr="00DA1EBD">
        <w:rPr>
          <w:rFonts w:ascii="Cambria" w:hAnsi="Cambria"/>
          <w:sz w:val="20"/>
          <w:szCs w:val="20"/>
        </w:rPr>
        <w:t>.</w:t>
      </w:r>
    </w:p>
    <w:p w14:paraId="76C76F5F" w14:textId="0CFFE08C" w:rsidR="007D0305" w:rsidRPr="00DA1EBD" w:rsidRDefault="00BC592A"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A1EBD">
        <w:rPr>
          <w:rFonts w:ascii="Cambria" w:hAnsi="Cambria"/>
          <w:sz w:val="20"/>
          <w:szCs w:val="20"/>
        </w:rPr>
        <w:t xml:space="preserve">The petitioner states that </w:t>
      </w:r>
      <w:r w:rsidR="003337E3" w:rsidRPr="00DA1EBD">
        <w:rPr>
          <w:rFonts w:ascii="Cambria" w:hAnsi="Cambria"/>
          <w:sz w:val="20"/>
          <w:szCs w:val="20"/>
        </w:rPr>
        <w:t>the displaced</w:t>
      </w:r>
      <w:r w:rsidRPr="00DA1EBD">
        <w:rPr>
          <w:rFonts w:ascii="Cambria" w:hAnsi="Cambria"/>
          <w:sz w:val="20"/>
          <w:szCs w:val="20"/>
        </w:rPr>
        <w:t xml:space="preserve"> from Bocas de Aracataca </w:t>
      </w:r>
      <w:r w:rsidR="003337E3" w:rsidRPr="00DA1EBD">
        <w:rPr>
          <w:rFonts w:ascii="Cambria" w:hAnsi="Cambria"/>
          <w:sz w:val="20"/>
          <w:szCs w:val="20"/>
        </w:rPr>
        <w:t>live</w:t>
      </w:r>
      <w:r w:rsidRPr="00DA1EBD">
        <w:rPr>
          <w:rFonts w:ascii="Cambria" w:hAnsi="Cambria"/>
          <w:sz w:val="20"/>
          <w:szCs w:val="20"/>
        </w:rPr>
        <w:t xml:space="preserve"> in precarious </w:t>
      </w:r>
      <w:r w:rsidR="003337E3" w:rsidRPr="00DA1EBD">
        <w:rPr>
          <w:rFonts w:ascii="Cambria" w:hAnsi="Cambria"/>
          <w:sz w:val="20"/>
          <w:szCs w:val="20"/>
        </w:rPr>
        <w:t>conditions</w:t>
      </w:r>
      <w:r w:rsidRPr="00DA1EBD">
        <w:rPr>
          <w:rFonts w:ascii="Cambria" w:hAnsi="Cambria"/>
          <w:sz w:val="20"/>
          <w:szCs w:val="20"/>
        </w:rPr>
        <w:t xml:space="preserve"> in marginal neighbor</w:t>
      </w:r>
      <w:r w:rsidR="0074279C" w:rsidRPr="00DA1EBD">
        <w:rPr>
          <w:rFonts w:ascii="Cambria" w:hAnsi="Cambria"/>
          <w:sz w:val="20"/>
          <w:szCs w:val="20"/>
        </w:rPr>
        <w:t xml:space="preserve">hoods in other municipalities. He emphasizes </w:t>
      </w:r>
      <w:r w:rsidRPr="00DA1EBD">
        <w:rPr>
          <w:rFonts w:ascii="Cambria" w:hAnsi="Cambria"/>
          <w:sz w:val="20"/>
          <w:szCs w:val="20"/>
        </w:rPr>
        <w:t xml:space="preserve">that although Colombian law recognizes the right of displaced </w:t>
      </w:r>
      <w:r w:rsidR="0074279C" w:rsidRPr="00DA1EBD">
        <w:rPr>
          <w:rFonts w:ascii="Cambria" w:hAnsi="Cambria"/>
          <w:sz w:val="20"/>
          <w:szCs w:val="20"/>
        </w:rPr>
        <w:t xml:space="preserve">persons </w:t>
      </w:r>
      <w:r w:rsidRPr="00DA1EBD">
        <w:rPr>
          <w:rFonts w:ascii="Cambria" w:hAnsi="Cambria"/>
          <w:sz w:val="20"/>
          <w:szCs w:val="20"/>
        </w:rPr>
        <w:t>to return to the</w:t>
      </w:r>
      <w:r w:rsidR="0074279C" w:rsidRPr="00DA1EBD">
        <w:rPr>
          <w:rFonts w:ascii="Cambria" w:hAnsi="Cambria"/>
          <w:sz w:val="20"/>
          <w:szCs w:val="20"/>
        </w:rPr>
        <w:t>ir</w:t>
      </w:r>
      <w:r w:rsidRPr="00DA1EBD">
        <w:rPr>
          <w:rFonts w:ascii="Cambria" w:hAnsi="Cambria"/>
          <w:sz w:val="20"/>
          <w:szCs w:val="20"/>
        </w:rPr>
        <w:t xml:space="preserve"> place of origin, </w:t>
      </w:r>
      <w:r w:rsidR="003337E3" w:rsidRPr="00DA1EBD">
        <w:rPr>
          <w:rFonts w:ascii="Cambria" w:hAnsi="Cambria"/>
          <w:sz w:val="20"/>
          <w:szCs w:val="20"/>
        </w:rPr>
        <w:t>it is not possible to do so due to the</w:t>
      </w:r>
      <w:r w:rsidR="002D4589" w:rsidRPr="00DA1EBD">
        <w:rPr>
          <w:rFonts w:ascii="Cambria" w:hAnsi="Cambria"/>
          <w:sz w:val="20"/>
          <w:szCs w:val="20"/>
        </w:rPr>
        <w:t xml:space="preserve"> fear </w:t>
      </w:r>
      <w:r w:rsidR="003337E3" w:rsidRPr="00DA1EBD">
        <w:rPr>
          <w:rFonts w:ascii="Cambria" w:hAnsi="Cambria"/>
          <w:sz w:val="20"/>
          <w:szCs w:val="20"/>
        </w:rPr>
        <w:t>of</w:t>
      </w:r>
      <w:r w:rsidRPr="00DA1EBD">
        <w:rPr>
          <w:rFonts w:ascii="Cambria" w:hAnsi="Cambria"/>
          <w:sz w:val="20"/>
          <w:szCs w:val="20"/>
        </w:rPr>
        <w:t xml:space="preserve"> being killed</w:t>
      </w:r>
      <w:r w:rsidR="002D4589" w:rsidRPr="00DA1EBD">
        <w:rPr>
          <w:rFonts w:ascii="Cambria" w:hAnsi="Cambria"/>
          <w:sz w:val="20"/>
          <w:szCs w:val="20"/>
        </w:rPr>
        <w:t xml:space="preserve"> </w:t>
      </w:r>
      <w:r w:rsidR="003337E3" w:rsidRPr="00DA1EBD">
        <w:rPr>
          <w:rFonts w:ascii="Cambria" w:hAnsi="Cambria"/>
          <w:sz w:val="20"/>
          <w:szCs w:val="20"/>
        </w:rPr>
        <w:t xml:space="preserve">by those who perpetrated the massacre and who have not been fully prosecuted. In </w:t>
      </w:r>
      <w:r w:rsidRPr="00DA1EBD">
        <w:rPr>
          <w:rFonts w:ascii="Cambria" w:hAnsi="Cambria"/>
          <w:sz w:val="20"/>
          <w:szCs w:val="20"/>
        </w:rPr>
        <w:t>addition,</w:t>
      </w:r>
      <w:r w:rsidR="001D11EB" w:rsidRPr="00DA1EBD">
        <w:rPr>
          <w:rFonts w:ascii="Cambria" w:hAnsi="Cambria"/>
          <w:sz w:val="20"/>
          <w:szCs w:val="20"/>
        </w:rPr>
        <w:t xml:space="preserve"> he emphasizes that</w:t>
      </w:r>
      <w:r w:rsidRPr="00DA1EBD">
        <w:rPr>
          <w:rFonts w:ascii="Cambria" w:hAnsi="Cambria"/>
          <w:sz w:val="20"/>
          <w:szCs w:val="20"/>
        </w:rPr>
        <w:t xml:space="preserve"> the State</w:t>
      </w:r>
      <w:r w:rsidR="005C30FF" w:rsidRPr="00DA1EBD">
        <w:rPr>
          <w:rFonts w:ascii="Cambria" w:hAnsi="Cambria"/>
          <w:sz w:val="20"/>
          <w:szCs w:val="20"/>
        </w:rPr>
        <w:t>,</w:t>
      </w:r>
      <w:r w:rsidRPr="00DA1EBD">
        <w:rPr>
          <w:rFonts w:ascii="Cambria" w:hAnsi="Cambria"/>
          <w:sz w:val="20"/>
          <w:szCs w:val="20"/>
        </w:rPr>
        <w:t xml:space="preserve"> </w:t>
      </w:r>
      <w:r w:rsidR="005C30FF" w:rsidRPr="00DA1EBD">
        <w:rPr>
          <w:rFonts w:ascii="Cambria" w:hAnsi="Cambria"/>
          <w:sz w:val="20"/>
          <w:szCs w:val="20"/>
        </w:rPr>
        <w:t xml:space="preserve">by using the military force of the self-defense groups, </w:t>
      </w:r>
      <w:r w:rsidRPr="00DA1EBD">
        <w:rPr>
          <w:rFonts w:ascii="Cambria" w:hAnsi="Cambria"/>
          <w:sz w:val="20"/>
          <w:szCs w:val="20"/>
        </w:rPr>
        <w:t xml:space="preserve">continued </w:t>
      </w:r>
      <w:r w:rsidR="005C30FF" w:rsidRPr="00DA1EBD">
        <w:rPr>
          <w:rFonts w:ascii="Cambria" w:hAnsi="Cambria"/>
          <w:sz w:val="20"/>
          <w:szCs w:val="20"/>
        </w:rPr>
        <w:t>sponsoring and allowing</w:t>
      </w:r>
      <w:r w:rsidRPr="00DA1EBD">
        <w:rPr>
          <w:rFonts w:ascii="Cambria" w:hAnsi="Cambria"/>
          <w:sz w:val="20"/>
          <w:szCs w:val="20"/>
        </w:rPr>
        <w:t xml:space="preserve"> the same armed group </w:t>
      </w:r>
      <w:r w:rsidR="005C30FF" w:rsidRPr="00DA1EBD">
        <w:rPr>
          <w:rFonts w:ascii="Cambria" w:hAnsi="Cambria"/>
          <w:sz w:val="20"/>
          <w:szCs w:val="20"/>
        </w:rPr>
        <w:t>to massacre</w:t>
      </w:r>
      <w:r w:rsidRPr="00DA1EBD">
        <w:rPr>
          <w:rFonts w:ascii="Cambria" w:hAnsi="Cambria"/>
          <w:sz w:val="20"/>
          <w:szCs w:val="20"/>
        </w:rPr>
        <w:t xml:space="preserve"> </w:t>
      </w:r>
      <w:r w:rsidR="005C30FF" w:rsidRPr="00DA1EBD">
        <w:rPr>
          <w:rFonts w:ascii="Cambria" w:hAnsi="Cambria"/>
          <w:sz w:val="20"/>
          <w:szCs w:val="20"/>
        </w:rPr>
        <w:t xml:space="preserve">inhabitants of </w:t>
      </w:r>
      <w:r w:rsidR="001D11EB" w:rsidRPr="00DA1EBD">
        <w:rPr>
          <w:rFonts w:ascii="Cambria" w:hAnsi="Cambria"/>
          <w:sz w:val="20"/>
          <w:szCs w:val="20"/>
        </w:rPr>
        <w:t>other villages</w:t>
      </w:r>
      <w:r w:rsidRPr="00DA1EBD">
        <w:rPr>
          <w:rFonts w:ascii="Cambria" w:hAnsi="Cambria"/>
          <w:sz w:val="20"/>
          <w:szCs w:val="20"/>
        </w:rPr>
        <w:t xml:space="preserve"> of the Ciénaga Grande de Santa Marta, </w:t>
      </w:r>
      <w:r w:rsidR="001D11EB" w:rsidRPr="00DA1EBD">
        <w:rPr>
          <w:rFonts w:ascii="Cambria" w:hAnsi="Cambria"/>
          <w:sz w:val="20"/>
          <w:szCs w:val="20"/>
        </w:rPr>
        <w:t>due to suspicions</w:t>
      </w:r>
      <w:r w:rsidRPr="00DA1EBD">
        <w:rPr>
          <w:rFonts w:ascii="Cambria" w:hAnsi="Cambria"/>
          <w:sz w:val="20"/>
          <w:szCs w:val="20"/>
        </w:rPr>
        <w:t xml:space="preserve"> of </w:t>
      </w:r>
      <w:r w:rsidR="005C30FF" w:rsidRPr="00DA1EBD">
        <w:rPr>
          <w:rFonts w:ascii="Cambria" w:hAnsi="Cambria"/>
          <w:sz w:val="20"/>
          <w:szCs w:val="20"/>
        </w:rPr>
        <w:t>their</w:t>
      </w:r>
      <w:r w:rsidR="001D11EB" w:rsidRPr="00DA1EBD">
        <w:rPr>
          <w:rFonts w:ascii="Cambria" w:hAnsi="Cambria"/>
          <w:sz w:val="20"/>
          <w:szCs w:val="20"/>
        </w:rPr>
        <w:t xml:space="preserve"> </w:t>
      </w:r>
      <w:r w:rsidR="005C30FF" w:rsidRPr="00DA1EBD">
        <w:rPr>
          <w:rFonts w:ascii="Cambria" w:hAnsi="Cambria"/>
          <w:sz w:val="20"/>
          <w:szCs w:val="20"/>
        </w:rPr>
        <w:t>collaboration with guerrilla groups</w:t>
      </w:r>
      <w:r w:rsidRPr="00DA1EBD">
        <w:rPr>
          <w:rFonts w:ascii="Cambria" w:hAnsi="Cambria"/>
          <w:sz w:val="20"/>
          <w:szCs w:val="20"/>
        </w:rPr>
        <w:t>.</w:t>
      </w:r>
    </w:p>
    <w:p w14:paraId="4FBD6E62" w14:textId="5890EDFE" w:rsidR="007D0305" w:rsidRPr="00DA1EBD" w:rsidRDefault="00914AE7"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A1EBD">
        <w:rPr>
          <w:rFonts w:ascii="Cambria" w:hAnsi="Cambria"/>
          <w:sz w:val="20"/>
          <w:szCs w:val="20"/>
        </w:rPr>
        <w:t>He</w:t>
      </w:r>
      <w:r w:rsidR="00BC592A" w:rsidRPr="00DA1EBD">
        <w:rPr>
          <w:rFonts w:ascii="Cambria" w:hAnsi="Cambria"/>
          <w:sz w:val="20"/>
          <w:szCs w:val="20"/>
        </w:rPr>
        <w:t xml:space="preserve"> states that on February 14, 2000, </w:t>
      </w:r>
      <w:r w:rsidR="00735910" w:rsidRPr="00DA1EBD">
        <w:rPr>
          <w:rFonts w:ascii="Cambria" w:hAnsi="Cambria"/>
          <w:sz w:val="20"/>
          <w:szCs w:val="20"/>
        </w:rPr>
        <w:t>merely as a formality</w:t>
      </w:r>
      <w:r w:rsidR="00BC592A" w:rsidRPr="00DA1EBD">
        <w:rPr>
          <w:rFonts w:ascii="Cambria" w:hAnsi="Cambria"/>
          <w:sz w:val="20"/>
          <w:szCs w:val="20"/>
        </w:rPr>
        <w:t xml:space="preserve"> </w:t>
      </w:r>
      <w:r w:rsidRPr="00DA1EBD">
        <w:rPr>
          <w:rFonts w:ascii="Cambria" w:hAnsi="Cambria"/>
          <w:sz w:val="20"/>
          <w:szCs w:val="20"/>
        </w:rPr>
        <w:t>to establish in court</w:t>
      </w:r>
      <w:r w:rsidR="00BC592A" w:rsidRPr="00DA1EBD">
        <w:rPr>
          <w:rFonts w:ascii="Cambria" w:hAnsi="Cambria"/>
          <w:sz w:val="20"/>
          <w:szCs w:val="20"/>
        </w:rPr>
        <w:t xml:space="preserve"> that </w:t>
      </w:r>
      <w:r w:rsidRPr="00DA1EBD">
        <w:rPr>
          <w:rFonts w:ascii="Cambria" w:hAnsi="Cambria"/>
          <w:sz w:val="20"/>
          <w:szCs w:val="20"/>
        </w:rPr>
        <w:t>the Army had not participated</w:t>
      </w:r>
      <w:r w:rsidR="00BC592A" w:rsidRPr="00DA1EBD">
        <w:rPr>
          <w:rFonts w:ascii="Cambria" w:hAnsi="Cambria"/>
          <w:sz w:val="20"/>
          <w:szCs w:val="20"/>
        </w:rPr>
        <w:t xml:space="preserve"> or been an accomplice </w:t>
      </w:r>
      <w:r w:rsidRPr="00DA1EBD">
        <w:rPr>
          <w:rFonts w:ascii="Cambria" w:hAnsi="Cambria"/>
          <w:sz w:val="20"/>
          <w:szCs w:val="20"/>
        </w:rPr>
        <w:t>in</w:t>
      </w:r>
      <w:r w:rsidR="00BC592A" w:rsidRPr="00DA1EBD">
        <w:rPr>
          <w:rFonts w:ascii="Cambria" w:hAnsi="Cambria"/>
          <w:sz w:val="20"/>
          <w:szCs w:val="20"/>
        </w:rPr>
        <w:t xml:space="preserve"> these events, the Human Rights </w:t>
      </w:r>
      <w:r w:rsidR="00735910" w:rsidRPr="00DA1EBD">
        <w:rPr>
          <w:rFonts w:ascii="Cambria" w:hAnsi="Cambria"/>
          <w:sz w:val="20"/>
          <w:szCs w:val="20"/>
        </w:rPr>
        <w:t>NCO</w:t>
      </w:r>
      <w:r w:rsidR="00BC592A" w:rsidRPr="00DA1EBD">
        <w:rPr>
          <w:rFonts w:ascii="Cambria" w:hAnsi="Cambria"/>
          <w:sz w:val="20"/>
          <w:szCs w:val="20"/>
        </w:rPr>
        <w:t xml:space="preserve"> of the Córdoba Battalion </w:t>
      </w:r>
      <w:r w:rsidRPr="00DA1EBD">
        <w:rPr>
          <w:rFonts w:ascii="Cambria" w:hAnsi="Cambria"/>
          <w:sz w:val="20"/>
          <w:szCs w:val="20"/>
        </w:rPr>
        <w:t>submitted</w:t>
      </w:r>
      <w:r w:rsidR="00BC592A" w:rsidRPr="00DA1EBD">
        <w:rPr>
          <w:rFonts w:ascii="Cambria" w:hAnsi="Cambria"/>
          <w:sz w:val="20"/>
          <w:szCs w:val="20"/>
        </w:rPr>
        <w:t xml:space="preserve"> a report and filed a criminal complaint </w:t>
      </w:r>
      <w:r w:rsidR="00735910" w:rsidRPr="00DA1EBD">
        <w:rPr>
          <w:rFonts w:ascii="Cambria" w:hAnsi="Cambria"/>
          <w:sz w:val="20"/>
          <w:szCs w:val="20"/>
        </w:rPr>
        <w:t>on</w:t>
      </w:r>
      <w:r w:rsidRPr="00DA1EBD">
        <w:rPr>
          <w:rFonts w:ascii="Cambria" w:hAnsi="Cambria"/>
          <w:sz w:val="20"/>
          <w:szCs w:val="20"/>
        </w:rPr>
        <w:t xml:space="preserve"> </w:t>
      </w:r>
      <w:r w:rsidR="00BC592A" w:rsidRPr="00DA1EBD">
        <w:rPr>
          <w:rFonts w:ascii="Cambria" w:hAnsi="Cambria"/>
          <w:sz w:val="20"/>
          <w:szCs w:val="20"/>
        </w:rPr>
        <w:t xml:space="preserve">the massacre </w:t>
      </w:r>
      <w:r w:rsidRPr="00DA1EBD">
        <w:rPr>
          <w:rFonts w:ascii="Cambria" w:hAnsi="Cambria"/>
          <w:sz w:val="20"/>
          <w:szCs w:val="20"/>
        </w:rPr>
        <w:t>occurring</w:t>
      </w:r>
      <w:r w:rsidR="00BC592A" w:rsidRPr="00DA1EBD">
        <w:rPr>
          <w:rFonts w:ascii="Cambria" w:hAnsi="Cambria"/>
          <w:sz w:val="20"/>
          <w:szCs w:val="20"/>
        </w:rPr>
        <w:t xml:space="preserve"> in Bocas de Aracataca. </w:t>
      </w:r>
      <w:r w:rsidRPr="00DA1EBD">
        <w:rPr>
          <w:rFonts w:ascii="Cambria" w:hAnsi="Cambria"/>
          <w:sz w:val="20"/>
          <w:szCs w:val="20"/>
        </w:rPr>
        <w:t>The petitioner points out</w:t>
      </w:r>
      <w:r w:rsidR="00BC592A" w:rsidRPr="00DA1EBD">
        <w:rPr>
          <w:rFonts w:ascii="Cambria" w:hAnsi="Cambria"/>
          <w:sz w:val="20"/>
          <w:szCs w:val="20"/>
        </w:rPr>
        <w:t xml:space="preserve"> that the complaint was </w:t>
      </w:r>
      <w:r w:rsidR="00735910" w:rsidRPr="00DA1EBD">
        <w:rPr>
          <w:rFonts w:ascii="Cambria" w:hAnsi="Cambria"/>
          <w:sz w:val="20"/>
          <w:szCs w:val="20"/>
        </w:rPr>
        <w:t>submitted</w:t>
      </w:r>
      <w:r w:rsidR="00BC592A" w:rsidRPr="00DA1EBD">
        <w:rPr>
          <w:rFonts w:ascii="Cambria" w:hAnsi="Cambria"/>
          <w:sz w:val="20"/>
          <w:szCs w:val="20"/>
        </w:rPr>
        <w:t xml:space="preserve"> to the Fifth Delegate</w:t>
      </w:r>
      <w:r w:rsidR="00735910" w:rsidRPr="00DA1EBD">
        <w:rPr>
          <w:rFonts w:ascii="Cambria" w:hAnsi="Cambria"/>
          <w:sz w:val="20"/>
          <w:szCs w:val="20"/>
        </w:rPr>
        <w:t>d</w:t>
      </w:r>
      <w:r w:rsidR="00BC592A" w:rsidRPr="00DA1EBD">
        <w:rPr>
          <w:rFonts w:ascii="Cambria" w:hAnsi="Cambria"/>
          <w:sz w:val="20"/>
          <w:szCs w:val="20"/>
        </w:rPr>
        <w:t xml:space="preserve"> Prosecutor's Office before the </w:t>
      </w:r>
      <w:r w:rsidRPr="00DA1EBD">
        <w:rPr>
          <w:rFonts w:ascii="Cambria" w:hAnsi="Cambria"/>
          <w:sz w:val="20"/>
          <w:szCs w:val="20"/>
        </w:rPr>
        <w:t>Circuit Criminal Justices</w:t>
      </w:r>
      <w:r w:rsidR="00BC592A" w:rsidRPr="00DA1EBD">
        <w:rPr>
          <w:rFonts w:ascii="Cambria" w:hAnsi="Cambria"/>
          <w:sz w:val="20"/>
          <w:szCs w:val="20"/>
        </w:rPr>
        <w:t xml:space="preserve"> and not to the National Human Rights Unit of the Attorney General's Office. </w:t>
      </w:r>
      <w:r w:rsidR="002C186A" w:rsidRPr="00DA1EBD">
        <w:rPr>
          <w:rFonts w:ascii="Cambria" w:hAnsi="Cambria"/>
          <w:sz w:val="20"/>
          <w:szCs w:val="20"/>
        </w:rPr>
        <w:t>He</w:t>
      </w:r>
      <w:r w:rsidR="00BC592A" w:rsidRPr="00DA1EBD">
        <w:rPr>
          <w:rFonts w:ascii="Cambria" w:hAnsi="Cambria"/>
          <w:sz w:val="20"/>
          <w:szCs w:val="20"/>
        </w:rPr>
        <w:t xml:space="preserve"> emphasizes tha</w:t>
      </w:r>
      <w:r w:rsidR="00735910" w:rsidRPr="00DA1EBD">
        <w:rPr>
          <w:rFonts w:ascii="Cambria" w:hAnsi="Cambria"/>
          <w:sz w:val="20"/>
          <w:szCs w:val="20"/>
        </w:rPr>
        <w:t>t these</w:t>
      </w:r>
      <w:r w:rsidR="002C186A" w:rsidRPr="00DA1EBD">
        <w:rPr>
          <w:rFonts w:ascii="Cambria" w:hAnsi="Cambria"/>
          <w:sz w:val="20"/>
          <w:szCs w:val="20"/>
        </w:rPr>
        <w:t xml:space="preserve"> ordinary criminal proceedings failed to identify all the perpetrators</w:t>
      </w:r>
      <w:r w:rsidR="00BC592A" w:rsidRPr="00DA1EBD">
        <w:rPr>
          <w:rFonts w:ascii="Cambria" w:hAnsi="Cambria"/>
          <w:sz w:val="20"/>
          <w:szCs w:val="20"/>
        </w:rPr>
        <w:t xml:space="preserve"> or participants in the massacre </w:t>
      </w:r>
      <w:r w:rsidR="00A40F8C" w:rsidRPr="00DA1EBD">
        <w:rPr>
          <w:rFonts w:ascii="Cambria" w:hAnsi="Cambria"/>
          <w:sz w:val="20"/>
          <w:szCs w:val="20"/>
        </w:rPr>
        <w:t xml:space="preserve">on the grounds </w:t>
      </w:r>
      <w:r w:rsidR="00735910" w:rsidRPr="00DA1EBD">
        <w:rPr>
          <w:rFonts w:ascii="Cambria" w:hAnsi="Cambria"/>
          <w:sz w:val="20"/>
          <w:szCs w:val="20"/>
        </w:rPr>
        <w:t>that the inhabitants had failed to assist in the investigation.</w:t>
      </w:r>
      <w:r w:rsidR="00BC592A" w:rsidRPr="00DA1EBD">
        <w:rPr>
          <w:rFonts w:ascii="Cambria" w:hAnsi="Cambria"/>
          <w:sz w:val="20"/>
          <w:szCs w:val="20"/>
        </w:rPr>
        <w:t xml:space="preserve"> </w:t>
      </w:r>
      <w:r w:rsidR="00A40F8C" w:rsidRPr="00DA1EBD">
        <w:rPr>
          <w:rFonts w:ascii="Cambria" w:hAnsi="Cambria"/>
          <w:sz w:val="20"/>
          <w:szCs w:val="20"/>
        </w:rPr>
        <w:t xml:space="preserve">He points out </w:t>
      </w:r>
      <w:r w:rsidR="00BC592A" w:rsidRPr="00DA1EBD">
        <w:rPr>
          <w:rFonts w:ascii="Cambria" w:hAnsi="Cambria"/>
          <w:sz w:val="20"/>
          <w:szCs w:val="20"/>
        </w:rPr>
        <w:t>that as a result of the investigations, only one of the paramilitaries involved wa</w:t>
      </w:r>
      <w:r w:rsidR="00A40F8C" w:rsidRPr="00DA1EBD">
        <w:rPr>
          <w:rFonts w:ascii="Cambria" w:hAnsi="Cambria"/>
          <w:sz w:val="20"/>
          <w:szCs w:val="20"/>
        </w:rPr>
        <w:t xml:space="preserve">s brought to trial, </w:t>
      </w:r>
      <w:r w:rsidR="00735910" w:rsidRPr="00DA1EBD">
        <w:rPr>
          <w:rFonts w:ascii="Cambria" w:hAnsi="Cambria"/>
          <w:sz w:val="20"/>
          <w:szCs w:val="20"/>
        </w:rPr>
        <w:t xml:space="preserve">and that he was  not detained </w:t>
      </w:r>
      <w:r w:rsidR="00A40F8C" w:rsidRPr="00DA1EBD">
        <w:rPr>
          <w:rFonts w:ascii="Cambria" w:hAnsi="Cambria"/>
          <w:sz w:val="20"/>
          <w:szCs w:val="20"/>
        </w:rPr>
        <w:t>until mid-</w:t>
      </w:r>
      <w:r w:rsidR="00BC592A" w:rsidRPr="00DA1EBD">
        <w:rPr>
          <w:rFonts w:ascii="Cambria" w:hAnsi="Cambria"/>
          <w:sz w:val="20"/>
          <w:szCs w:val="20"/>
        </w:rPr>
        <w:t xml:space="preserve">2014 despite being fully identified </w:t>
      </w:r>
      <w:r w:rsidR="00A40F8C" w:rsidRPr="00DA1EBD">
        <w:rPr>
          <w:rFonts w:ascii="Cambria" w:hAnsi="Cambria"/>
          <w:sz w:val="20"/>
          <w:szCs w:val="20"/>
        </w:rPr>
        <w:t>and his whereabouts known</w:t>
      </w:r>
      <w:r w:rsidR="00BC592A" w:rsidRPr="00DA1EBD">
        <w:rPr>
          <w:rFonts w:ascii="Cambria" w:hAnsi="Cambria"/>
          <w:sz w:val="20"/>
          <w:szCs w:val="20"/>
        </w:rPr>
        <w:t xml:space="preserve">. </w:t>
      </w:r>
      <w:r w:rsidR="00A40F8C" w:rsidRPr="00DA1EBD">
        <w:rPr>
          <w:rFonts w:ascii="Cambria" w:hAnsi="Cambria"/>
          <w:sz w:val="20"/>
          <w:szCs w:val="20"/>
        </w:rPr>
        <w:t>The petitioner</w:t>
      </w:r>
      <w:r w:rsidR="00BC592A" w:rsidRPr="00DA1EBD">
        <w:rPr>
          <w:rFonts w:ascii="Cambria" w:hAnsi="Cambria"/>
          <w:sz w:val="20"/>
          <w:szCs w:val="20"/>
        </w:rPr>
        <w:t xml:space="preserve"> considers that the authorities </w:t>
      </w:r>
      <w:r w:rsidR="00735910" w:rsidRPr="00DA1EBD">
        <w:rPr>
          <w:rFonts w:ascii="Cambria" w:hAnsi="Cambria"/>
          <w:sz w:val="20"/>
          <w:szCs w:val="20"/>
        </w:rPr>
        <w:t>have the obligation to act</w:t>
      </w:r>
      <w:r w:rsidR="00BC592A" w:rsidRPr="00DA1EBD">
        <w:rPr>
          <w:rFonts w:ascii="Cambria" w:hAnsi="Cambria"/>
          <w:sz w:val="20"/>
          <w:szCs w:val="20"/>
        </w:rPr>
        <w:t xml:space="preserve"> </w:t>
      </w:r>
      <w:r w:rsidR="00BC592A" w:rsidRPr="00DA1EBD">
        <w:rPr>
          <w:rFonts w:ascii="Cambria" w:hAnsi="Cambria"/>
          <w:i/>
          <w:sz w:val="20"/>
          <w:szCs w:val="20"/>
        </w:rPr>
        <w:t>ex officio</w:t>
      </w:r>
      <w:r w:rsidR="00BC592A" w:rsidRPr="00DA1EBD">
        <w:rPr>
          <w:rFonts w:ascii="Cambria" w:hAnsi="Cambria"/>
          <w:sz w:val="20"/>
          <w:szCs w:val="20"/>
        </w:rPr>
        <w:t xml:space="preserve"> </w:t>
      </w:r>
      <w:r w:rsidR="00735910" w:rsidRPr="00DA1EBD">
        <w:rPr>
          <w:rFonts w:ascii="Cambria" w:hAnsi="Cambria"/>
          <w:sz w:val="20"/>
          <w:szCs w:val="20"/>
        </w:rPr>
        <w:t>to</w:t>
      </w:r>
      <w:r w:rsidR="00BC592A" w:rsidRPr="00DA1EBD">
        <w:rPr>
          <w:rFonts w:ascii="Cambria" w:hAnsi="Cambria"/>
          <w:sz w:val="20"/>
          <w:szCs w:val="20"/>
        </w:rPr>
        <w:t xml:space="preserve"> promote the investigation </w:t>
      </w:r>
      <w:r w:rsidR="00735910" w:rsidRPr="00DA1EBD">
        <w:rPr>
          <w:rFonts w:ascii="Cambria" w:hAnsi="Cambria"/>
          <w:sz w:val="20"/>
          <w:szCs w:val="20"/>
        </w:rPr>
        <w:t xml:space="preserve">in light of </w:t>
      </w:r>
      <w:r w:rsidR="0019666F" w:rsidRPr="00DA1EBD">
        <w:rPr>
          <w:rFonts w:ascii="Cambria" w:hAnsi="Cambria"/>
          <w:sz w:val="20"/>
          <w:szCs w:val="20"/>
        </w:rPr>
        <w:t xml:space="preserve">the reprisals that the villagers could suffer, due to </w:t>
      </w:r>
      <w:r w:rsidR="00BC592A" w:rsidRPr="00DA1EBD">
        <w:rPr>
          <w:rFonts w:ascii="Cambria" w:hAnsi="Cambria"/>
          <w:sz w:val="20"/>
          <w:szCs w:val="20"/>
        </w:rPr>
        <w:t xml:space="preserve">the connivance between the self-defense groups and the </w:t>
      </w:r>
      <w:r w:rsidR="00A40F8C" w:rsidRPr="00DA1EBD">
        <w:rPr>
          <w:rFonts w:ascii="Cambria" w:hAnsi="Cambria"/>
          <w:sz w:val="20"/>
          <w:szCs w:val="20"/>
        </w:rPr>
        <w:t>Security Forces</w:t>
      </w:r>
      <w:r w:rsidR="00BC592A" w:rsidRPr="00DA1EBD">
        <w:rPr>
          <w:rFonts w:ascii="Cambria" w:hAnsi="Cambria"/>
          <w:sz w:val="20"/>
          <w:szCs w:val="20"/>
        </w:rPr>
        <w:t>.</w:t>
      </w:r>
    </w:p>
    <w:p w14:paraId="11495087" w14:textId="75B4FF2D" w:rsidR="007D0305" w:rsidRPr="00DA1EBD" w:rsidRDefault="00392AC1"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A1EBD">
        <w:rPr>
          <w:rFonts w:ascii="Cambria" w:hAnsi="Cambria"/>
          <w:sz w:val="20"/>
          <w:szCs w:val="20"/>
        </w:rPr>
        <w:t>From January 2016</w:t>
      </w:r>
      <w:r w:rsidR="00BC592A" w:rsidRPr="00DA1EBD">
        <w:rPr>
          <w:rFonts w:ascii="Cambria" w:hAnsi="Cambria"/>
          <w:sz w:val="20"/>
          <w:szCs w:val="20"/>
        </w:rPr>
        <w:t xml:space="preserve"> the Northern Bloc of the United Self-Defense Groups of Colombia, linked to the AUCU, </w:t>
      </w:r>
      <w:r w:rsidRPr="00DA1EBD">
        <w:rPr>
          <w:rFonts w:ascii="Cambria" w:hAnsi="Cambria"/>
          <w:sz w:val="20"/>
          <w:szCs w:val="20"/>
        </w:rPr>
        <w:t>subjected themselves</w:t>
      </w:r>
      <w:r w:rsidR="00BC592A" w:rsidRPr="00DA1EBD">
        <w:rPr>
          <w:rFonts w:ascii="Cambria" w:hAnsi="Cambria"/>
          <w:sz w:val="20"/>
          <w:szCs w:val="20"/>
        </w:rPr>
        <w:t xml:space="preserve"> to the transitional justice system</w:t>
      </w:r>
      <w:r w:rsidRPr="00DA1EBD">
        <w:rPr>
          <w:rFonts w:ascii="Cambria" w:hAnsi="Cambria"/>
          <w:sz w:val="20"/>
          <w:szCs w:val="20"/>
        </w:rPr>
        <w:t xml:space="preserve"> implemented in light of the Justice and Peace Law</w:t>
      </w:r>
      <w:r w:rsidR="00BC592A" w:rsidRPr="00DA1EBD">
        <w:rPr>
          <w:rFonts w:ascii="Cambria" w:hAnsi="Cambria"/>
          <w:sz w:val="20"/>
          <w:szCs w:val="20"/>
        </w:rPr>
        <w:t xml:space="preserve">. </w:t>
      </w:r>
      <w:r w:rsidRPr="00DA1EBD">
        <w:rPr>
          <w:rFonts w:ascii="Cambria" w:hAnsi="Cambria"/>
          <w:sz w:val="20"/>
          <w:szCs w:val="20"/>
        </w:rPr>
        <w:t>By</w:t>
      </w:r>
      <w:r w:rsidR="00BC592A" w:rsidRPr="00DA1EBD">
        <w:rPr>
          <w:rFonts w:ascii="Cambria" w:hAnsi="Cambria"/>
          <w:sz w:val="20"/>
          <w:szCs w:val="20"/>
        </w:rPr>
        <w:t xml:space="preserve"> October 2017, </w:t>
      </w:r>
      <w:r w:rsidR="00B21DFD" w:rsidRPr="00DA1EBD">
        <w:rPr>
          <w:rFonts w:ascii="Cambria" w:hAnsi="Cambria"/>
          <w:sz w:val="20"/>
          <w:szCs w:val="20"/>
        </w:rPr>
        <w:t xml:space="preserve">after more than </w:t>
      </w:r>
      <w:r w:rsidR="00BC592A" w:rsidRPr="00DA1EBD">
        <w:rPr>
          <w:rFonts w:ascii="Cambria" w:hAnsi="Cambria"/>
          <w:sz w:val="20"/>
          <w:szCs w:val="20"/>
        </w:rPr>
        <w:t>17 years</w:t>
      </w:r>
      <w:r w:rsidRPr="00DA1EBD">
        <w:rPr>
          <w:rFonts w:ascii="Cambria" w:hAnsi="Cambria"/>
          <w:sz w:val="20"/>
          <w:szCs w:val="20"/>
        </w:rPr>
        <w:t xml:space="preserve"> from the massacre</w:t>
      </w:r>
      <w:r w:rsidR="00BC592A" w:rsidRPr="00DA1EBD">
        <w:rPr>
          <w:rFonts w:ascii="Cambria" w:hAnsi="Cambria"/>
          <w:sz w:val="20"/>
          <w:szCs w:val="20"/>
        </w:rPr>
        <w:t xml:space="preserve">, only 14 </w:t>
      </w:r>
      <w:r w:rsidRPr="00DA1EBD">
        <w:rPr>
          <w:rFonts w:ascii="Cambria" w:hAnsi="Cambria"/>
          <w:sz w:val="20"/>
          <w:szCs w:val="20"/>
        </w:rPr>
        <w:t>perpetrators - among them two high-ranking commanders who confessed to being co-authors - had been brought to trial</w:t>
      </w:r>
      <w:r w:rsidR="00BC592A" w:rsidRPr="00DA1EBD">
        <w:rPr>
          <w:rFonts w:ascii="Cambria" w:hAnsi="Cambria"/>
          <w:sz w:val="20"/>
          <w:szCs w:val="20"/>
        </w:rPr>
        <w:t xml:space="preserve">. The petitioner </w:t>
      </w:r>
      <w:r w:rsidRPr="00DA1EBD">
        <w:rPr>
          <w:rFonts w:ascii="Cambria" w:hAnsi="Cambria"/>
          <w:sz w:val="20"/>
          <w:szCs w:val="20"/>
        </w:rPr>
        <w:t>alleges</w:t>
      </w:r>
      <w:r w:rsidR="00BC592A" w:rsidRPr="00DA1EBD">
        <w:rPr>
          <w:rFonts w:ascii="Cambria" w:hAnsi="Cambria"/>
          <w:sz w:val="20"/>
          <w:szCs w:val="20"/>
        </w:rPr>
        <w:t xml:space="preserve"> that only </w:t>
      </w:r>
      <w:r w:rsidR="00D06693" w:rsidRPr="00DA1EBD">
        <w:rPr>
          <w:rFonts w:ascii="Cambria" w:hAnsi="Cambria"/>
          <w:sz w:val="20"/>
          <w:szCs w:val="20"/>
        </w:rPr>
        <w:t xml:space="preserve">a total of </w:t>
      </w:r>
      <w:r w:rsidR="00BC592A" w:rsidRPr="00DA1EBD">
        <w:rPr>
          <w:rFonts w:ascii="Cambria" w:hAnsi="Cambria"/>
          <w:sz w:val="20"/>
          <w:szCs w:val="20"/>
        </w:rPr>
        <w:t xml:space="preserve">15 </w:t>
      </w:r>
      <w:r w:rsidR="00AD0B36" w:rsidRPr="00DA1EBD">
        <w:rPr>
          <w:rFonts w:ascii="Cambria" w:hAnsi="Cambria"/>
          <w:sz w:val="20"/>
          <w:szCs w:val="20"/>
        </w:rPr>
        <w:t>out of 40 perp</w:t>
      </w:r>
      <w:r w:rsidRPr="00DA1EBD">
        <w:rPr>
          <w:rFonts w:ascii="Cambria" w:hAnsi="Cambria"/>
          <w:sz w:val="20"/>
          <w:szCs w:val="20"/>
        </w:rPr>
        <w:t>etrators</w:t>
      </w:r>
      <w:r w:rsidR="00BC592A" w:rsidRPr="00DA1EBD">
        <w:rPr>
          <w:rFonts w:ascii="Cambria" w:hAnsi="Cambria"/>
          <w:sz w:val="20"/>
          <w:szCs w:val="20"/>
        </w:rPr>
        <w:t xml:space="preserve"> </w:t>
      </w:r>
      <w:r w:rsidR="00D06693" w:rsidRPr="00DA1EBD">
        <w:rPr>
          <w:rFonts w:ascii="Cambria" w:hAnsi="Cambria"/>
          <w:sz w:val="20"/>
          <w:szCs w:val="20"/>
        </w:rPr>
        <w:t>have been</w:t>
      </w:r>
      <w:r w:rsidR="00BC592A" w:rsidRPr="00DA1EBD">
        <w:rPr>
          <w:rFonts w:ascii="Cambria" w:hAnsi="Cambria"/>
          <w:sz w:val="20"/>
          <w:szCs w:val="20"/>
        </w:rPr>
        <w:t xml:space="preserve"> id</w:t>
      </w:r>
      <w:r w:rsidR="00D06693" w:rsidRPr="00DA1EBD">
        <w:rPr>
          <w:rFonts w:ascii="Cambria" w:hAnsi="Cambria"/>
          <w:sz w:val="20"/>
          <w:szCs w:val="20"/>
        </w:rPr>
        <w:t>entified and prosecuted</w:t>
      </w:r>
      <w:r w:rsidR="00BC592A" w:rsidRPr="00DA1EBD">
        <w:rPr>
          <w:rFonts w:ascii="Cambria" w:hAnsi="Cambria"/>
          <w:sz w:val="20"/>
          <w:szCs w:val="20"/>
        </w:rPr>
        <w:t xml:space="preserve">. </w:t>
      </w:r>
      <w:r w:rsidR="00D06693" w:rsidRPr="00DA1EBD">
        <w:rPr>
          <w:rFonts w:ascii="Cambria" w:hAnsi="Cambria"/>
          <w:sz w:val="20"/>
          <w:szCs w:val="20"/>
        </w:rPr>
        <w:t>He</w:t>
      </w:r>
      <w:r w:rsidR="00BC592A" w:rsidRPr="00DA1EBD">
        <w:rPr>
          <w:rFonts w:ascii="Cambria" w:hAnsi="Cambria"/>
          <w:sz w:val="20"/>
          <w:szCs w:val="20"/>
        </w:rPr>
        <w:t xml:space="preserve"> also highlights that </w:t>
      </w:r>
      <w:r w:rsidRPr="00DA1EBD">
        <w:rPr>
          <w:rFonts w:ascii="Cambria" w:hAnsi="Cambria"/>
          <w:sz w:val="20"/>
          <w:szCs w:val="20"/>
        </w:rPr>
        <w:t xml:space="preserve">by decision of May 15, 2000, </w:t>
      </w:r>
      <w:r w:rsidR="00BC592A" w:rsidRPr="00DA1EBD">
        <w:rPr>
          <w:rFonts w:ascii="Cambria" w:hAnsi="Cambria"/>
          <w:sz w:val="20"/>
          <w:szCs w:val="20"/>
        </w:rPr>
        <w:t xml:space="preserve">the Fourteenth Court of Military Criminal </w:t>
      </w:r>
      <w:r w:rsidR="00D06693" w:rsidRPr="00DA1EBD">
        <w:rPr>
          <w:rFonts w:ascii="Cambria" w:hAnsi="Cambria"/>
          <w:sz w:val="20"/>
          <w:szCs w:val="20"/>
        </w:rPr>
        <w:t>Investigation</w:t>
      </w:r>
      <w:r w:rsidR="00BC592A" w:rsidRPr="00DA1EBD">
        <w:rPr>
          <w:rFonts w:ascii="Cambria" w:hAnsi="Cambria"/>
          <w:sz w:val="20"/>
          <w:szCs w:val="20"/>
        </w:rPr>
        <w:t xml:space="preserve"> </w:t>
      </w:r>
      <w:r w:rsidR="00D06693" w:rsidRPr="00DA1EBD">
        <w:rPr>
          <w:rFonts w:ascii="Cambria" w:hAnsi="Cambria"/>
          <w:sz w:val="20"/>
          <w:szCs w:val="20"/>
        </w:rPr>
        <w:t>refrained</w:t>
      </w:r>
      <w:r w:rsidR="00BC592A" w:rsidRPr="00DA1EBD">
        <w:rPr>
          <w:rFonts w:ascii="Cambria" w:hAnsi="Cambria"/>
          <w:sz w:val="20"/>
          <w:szCs w:val="20"/>
        </w:rPr>
        <w:t xml:space="preserve"> from initiating criminal proceedings against the military personnel of </w:t>
      </w:r>
      <w:r w:rsidRPr="00DA1EBD">
        <w:rPr>
          <w:rFonts w:ascii="Cambria" w:hAnsi="Cambria"/>
          <w:sz w:val="20"/>
          <w:szCs w:val="20"/>
        </w:rPr>
        <w:t xml:space="preserve">No. 5 Córdoba </w:t>
      </w:r>
      <w:r w:rsidR="00BC592A" w:rsidRPr="00DA1EBD">
        <w:rPr>
          <w:rFonts w:ascii="Cambria" w:hAnsi="Cambria"/>
          <w:sz w:val="20"/>
          <w:szCs w:val="20"/>
        </w:rPr>
        <w:t xml:space="preserve">Infantry Battalion, </w:t>
      </w:r>
      <w:r w:rsidRPr="00DA1EBD">
        <w:rPr>
          <w:rFonts w:ascii="Cambria" w:hAnsi="Cambria"/>
          <w:sz w:val="20"/>
          <w:szCs w:val="20"/>
        </w:rPr>
        <w:t>and ordered</w:t>
      </w:r>
      <w:r w:rsidR="00BC592A" w:rsidRPr="00DA1EBD">
        <w:rPr>
          <w:rFonts w:ascii="Cambria" w:hAnsi="Cambria"/>
          <w:sz w:val="20"/>
          <w:szCs w:val="20"/>
        </w:rPr>
        <w:t xml:space="preserve"> the final </w:t>
      </w:r>
      <w:r w:rsidR="00D06693" w:rsidRPr="00DA1EBD">
        <w:rPr>
          <w:rFonts w:ascii="Cambria" w:hAnsi="Cambria"/>
          <w:sz w:val="20"/>
          <w:szCs w:val="20"/>
        </w:rPr>
        <w:t>archiving</w:t>
      </w:r>
      <w:r w:rsidR="00BC592A" w:rsidRPr="00DA1EBD">
        <w:rPr>
          <w:rFonts w:ascii="Cambria" w:hAnsi="Cambria"/>
          <w:sz w:val="20"/>
          <w:szCs w:val="20"/>
        </w:rPr>
        <w:t xml:space="preserve"> of the case. He points out that this </w:t>
      </w:r>
      <w:r w:rsidRPr="00DA1EBD">
        <w:rPr>
          <w:rFonts w:ascii="Cambria" w:hAnsi="Cambria"/>
          <w:sz w:val="20"/>
          <w:szCs w:val="20"/>
        </w:rPr>
        <w:t>decision</w:t>
      </w:r>
      <w:r w:rsidR="00BC592A" w:rsidRPr="00DA1EBD">
        <w:rPr>
          <w:rFonts w:ascii="Cambria" w:hAnsi="Cambria"/>
          <w:sz w:val="20"/>
          <w:szCs w:val="20"/>
        </w:rPr>
        <w:t xml:space="preserve"> was made </w:t>
      </w:r>
      <w:r w:rsidRPr="00DA1EBD">
        <w:rPr>
          <w:rFonts w:ascii="Cambria" w:hAnsi="Cambria"/>
          <w:sz w:val="20"/>
          <w:szCs w:val="20"/>
        </w:rPr>
        <w:t>on</w:t>
      </w:r>
      <w:r w:rsidR="00BC592A" w:rsidRPr="00DA1EBD">
        <w:rPr>
          <w:rFonts w:ascii="Cambria" w:hAnsi="Cambria"/>
          <w:sz w:val="20"/>
          <w:szCs w:val="20"/>
        </w:rPr>
        <w:t xml:space="preserve"> the understanding that the National Army </w:t>
      </w:r>
      <w:r w:rsidRPr="00DA1EBD">
        <w:rPr>
          <w:rFonts w:ascii="Cambria" w:hAnsi="Cambria"/>
          <w:sz w:val="20"/>
          <w:szCs w:val="20"/>
        </w:rPr>
        <w:t>had not deemed it necessary</w:t>
      </w:r>
      <w:r w:rsidR="00BC592A" w:rsidRPr="00DA1EBD">
        <w:rPr>
          <w:rFonts w:ascii="Cambria" w:hAnsi="Cambria"/>
          <w:sz w:val="20"/>
          <w:szCs w:val="20"/>
        </w:rPr>
        <w:t xml:space="preserve"> </w:t>
      </w:r>
      <w:r w:rsidR="00D06693" w:rsidRPr="00DA1EBD">
        <w:rPr>
          <w:rFonts w:ascii="Cambria" w:hAnsi="Cambria"/>
          <w:sz w:val="20"/>
          <w:szCs w:val="20"/>
        </w:rPr>
        <w:t>to deploy</w:t>
      </w:r>
      <w:r w:rsidR="00BC592A" w:rsidRPr="00DA1EBD">
        <w:rPr>
          <w:rFonts w:ascii="Cambria" w:hAnsi="Cambria"/>
          <w:sz w:val="20"/>
          <w:szCs w:val="20"/>
        </w:rPr>
        <w:t xml:space="preserve"> to Bocas de Aracataca, </w:t>
      </w:r>
      <w:r w:rsidR="00AD0B36" w:rsidRPr="00DA1EBD">
        <w:rPr>
          <w:rFonts w:ascii="Cambria" w:hAnsi="Cambria"/>
          <w:sz w:val="20"/>
          <w:szCs w:val="20"/>
        </w:rPr>
        <w:t>due to the absence of indications of</w:t>
      </w:r>
      <w:r w:rsidR="00BC592A" w:rsidRPr="00DA1EBD">
        <w:rPr>
          <w:rFonts w:ascii="Cambria" w:hAnsi="Cambria"/>
          <w:sz w:val="20"/>
          <w:szCs w:val="20"/>
        </w:rPr>
        <w:t xml:space="preserve"> possible disturbance</w:t>
      </w:r>
      <w:r w:rsidR="00AD0B36" w:rsidRPr="00DA1EBD">
        <w:rPr>
          <w:rFonts w:ascii="Cambria" w:hAnsi="Cambria"/>
          <w:sz w:val="20"/>
          <w:szCs w:val="20"/>
        </w:rPr>
        <w:t>s</w:t>
      </w:r>
      <w:r w:rsidR="00BC592A" w:rsidRPr="00DA1EBD">
        <w:rPr>
          <w:rFonts w:ascii="Cambria" w:hAnsi="Cambria"/>
          <w:sz w:val="20"/>
          <w:szCs w:val="20"/>
        </w:rPr>
        <w:t xml:space="preserve"> of public order</w:t>
      </w:r>
      <w:r w:rsidR="009A67DA">
        <w:rPr>
          <w:rFonts w:ascii="Cambria" w:hAnsi="Cambria"/>
          <w:sz w:val="20"/>
          <w:szCs w:val="20"/>
        </w:rPr>
        <w:t>.</w:t>
      </w:r>
    </w:p>
    <w:p w14:paraId="3F9FFCBC" w14:textId="02893FDC" w:rsidR="007D0305" w:rsidRPr="00DA1EBD" w:rsidRDefault="0021302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A1EBD">
        <w:rPr>
          <w:rFonts w:ascii="Cambria" w:hAnsi="Cambria"/>
          <w:sz w:val="20"/>
          <w:szCs w:val="20"/>
        </w:rPr>
        <w:t>The petitioner</w:t>
      </w:r>
      <w:r w:rsidR="00E005F6" w:rsidRPr="00DA1EBD">
        <w:rPr>
          <w:rFonts w:ascii="Cambria" w:hAnsi="Cambria"/>
          <w:sz w:val="20"/>
          <w:szCs w:val="20"/>
        </w:rPr>
        <w:t xml:space="preserve"> indicates that </w:t>
      </w:r>
      <w:r w:rsidRPr="00DA1EBD">
        <w:rPr>
          <w:rFonts w:ascii="Cambria" w:hAnsi="Cambria"/>
          <w:sz w:val="20"/>
          <w:szCs w:val="20"/>
        </w:rPr>
        <w:t xml:space="preserve">in </w:t>
      </w:r>
      <w:r w:rsidRPr="00DA1EBD">
        <w:rPr>
          <w:rFonts w:ascii="Cambria" w:hAnsi="Cambria"/>
          <w:i/>
          <w:sz w:val="20"/>
          <w:szCs w:val="20"/>
        </w:rPr>
        <w:t>tutela</w:t>
      </w:r>
      <w:r w:rsidRPr="00DA1EBD">
        <w:rPr>
          <w:rFonts w:ascii="Cambria" w:hAnsi="Cambria"/>
          <w:sz w:val="20"/>
          <w:szCs w:val="20"/>
        </w:rPr>
        <w:t xml:space="preserve"> judgment</w:t>
      </w:r>
      <w:r w:rsidR="00E005F6" w:rsidRPr="00DA1EBD">
        <w:rPr>
          <w:rFonts w:ascii="Cambria" w:hAnsi="Cambria"/>
          <w:sz w:val="20"/>
          <w:szCs w:val="20"/>
        </w:rPr>
        <w:t xml:space="preserve"> T-085 of February 16, 2009, the Constitutional Court </w:t>
      </w:r>
      <w:r w:rsidR="00322EFF" w:rsidRPr="00DA1EBD">
        <w:rPr>
          <w:rFonts w:ascii="Cambria" w:hAnsi="Cambria"/>
          <w:sz w:val="20"/>
          <w:szCs w:val="20"/>
        </w:rPr>
        <w:t>admitted</w:t>
      </w:r>
      <w:r w:rsidR="00E005F6" w:rsidRPr="00DA1EBD">
        <w:rPr>
          <w:rFonts w:ascii="Cambria" w:hAnsi="Cambria"/>
          <w:sz w:val="20"/>
          <w:szCs w:val="20"/>
        </w:rPr>
        <w:t xml:space="preserve"> </w:t>
      </w:r>
      <w:r w:rsidR="00322EFF" w:rsidRPr="00DA1EBD">
        <w:rPr>
          <w:rFonts w:ascii="Cambria" w:hAnsi="Cambria"/>
          <w:sz w:val="20"/>
          <w:szCs w:val="20"/>
        </w:rPr>
        <w:t xml:space="preserve">the recognition of </w:t>
      </w:r>
      <w:r w:rsidRPr="00DA1EBD">
        <w:rPr>
          <w:rFonts w:ascii="Cambria" w:hAnsi="Cambria"/>
          <w:sz w:val="20"/>
          <w:szCs w:val="20"/>
        </w:rPr>
        <w:t xml:space="preserve">damages </w:t>
      </w:r>
      <w:r w:rsidR="00322EFF" w:rsidRPr="00DA1EBD">
        <w:rPr>
          <w:rFonts w:ascii="Cambria" w:hAnsi="Cambria"/>
          <w:sz w:val="20"/>
          <w:szCs w:val="20"/>
        </w:rPr>
        <w:t>in favor of the victims of the forced displacement and their consequent</w:t>
      </w:r>
      <w:r w:rsidR="00E005F6" w:rsidRPr="00DA1EBD">
        <w:rPr>
          <w:rFonts w:ascii="Cambria" w:hAnsi="Cambria"/>
          <w:sz w:val="20"/>
          <w:szCs w:val="20"/>
        </w:rPr>
        <w:t xml:space="preserve"> </w:t>
      </w:r>
      <w:r w:rsidRPr="00DA1EBD">
        <w:rPr>
          <w:rFonts w:ascii="Cambria" w:hAnsi="Cambria"/>
          <w:sz w:val="20"/>
          <w:szCs w:val="20"/>
        </w:rPr>
        <w:t>assessment</w:t>
      </w:r>
      <w:r w:rsidR="00E005F6" w:rsidRPr="00DA1EBD">
        <w:rPr>
          <w:rFonts w:ascii="Cambria" w:hAnsi="Cambria"/>
          <w:sz w:val="20"/>
          <w:szCs w:val="20"/>
        </w:rPr>
        <w:t xml:space="preserve"> before the Contentious Administrative </w:t>
      </w:r>
      <w:r w:rsidRPr="00DA1EBD">
        <w:rPr>
          <w:rFonts w:ascii="Cambria" w:hAnsi="Cambria"/>
          <w:sz w:val="20"/>
          <w:szCs w:val="20"/>
        </w:rPr>
        <w:t>Jurisdiction</w:t>
      </w:r>
      <w:r w:rsidR="00336152" w:rsidRPr="00DA1EBD">
        <w:rPr>
          <w:rFonts w:ascii="Cambria" w:hAnsi="Cambria"/>
          <w:sz w:val="20"/>
          <w:szCs w:val="20"/>
        </w:rPr>
        <w:t xml:space="preserve">, on the grounds </w:t>
      </w:r>
      <w:r w:rsidR="00322EFF" w:rsidRPr="00DA1EBD">
        <w:rPr>
          <w:rFonts w:ascii="Cambria" w:hAnsi="Cambria"/>
          <w:sz w:val="20"/>
          <w:szCs w:val="20"/>
        </w:rPr>
        <w:t xml:space="preserve">of their being </w:t>
      </w:r>
      <w:r w:rsidR="00E005F6" w:rsidRPr="00DA1EBD">
        <w:rPr>
          <w:rFonts w:ascii="Cambria" w:hAnsi="Cambria"/>
          <w:sz w:val="20"/>
          <w:szCs w:val="20"/>
        </w:rPr>
        <w:t xml:space="preserve"> </w:t>
      </w:r>
      <w:r w:rsidR="00322EFF" w:rsidRPr="00DA1EBD">
        <w:rPr>
          <w:rFonts w:ascii="Cambria" w:hAnsi="Cambria"/>
          <w:sz w:val="20"/>
          <w:szCs w:val="20"/>
        </w:rPr>
        <w:t>victims of violations to fundamental rights subject to special protection based on their condition of "manifest weakness"</w:t>
      </w:r>
      <w:r w:rsidR="00E005F6" w:rsidRPr="00DA1EBD">
        <w:rPr>
          <w:rFonts w:ascii="Cambria" w:hAnsi="Cambria"/>
          <w:sz w:val="20"/>
          <w:szCs w:val="20"/>
        </w:rPr>
        <w:t xml:space="preserve">. Thus, he </w:t>
      </w:r>
      <w:r w:rsidR="0035022C" w:rsidRPr="00DA1EBD">
        <w:rPr>
          <w:rFonts w:ascii="Cambria" w:hAnsi="Cambria"/>
          <w:sz w:val="20"/>
          <w:szCs w:val="20"/>
        </w:rPr>
        <w:t>refers to the fact</w:t>
      </w:r>
      <w:r w:rsidR="00E005F6" w:rsidRPr="00DA1EBD">
        <w:rPr>
          <w:rFonts w:ascii="Cambria" w:hAnsi="Cambria"/>
          <w:sz w:val="20"/>
          <w:szCs w:val="20"/>
        </w:rPr>
        <w:t xml:space="preserve"> that 144 of the 221 family groups affected by the massacre </w:t>
      </w:r>
      <w:r w:rsidR="0035022C" w:rsidRPr="00DA1EBD">
        <w:rPr>
          <w:rFonts w:ascii="Cambria" w:hAnsi="Cambria"/>
          <w:sz w:val="20"/>
          <w:szCs w:val="20"/>
        </w:rPr>
        <w:t>resorted</w:t>
      </w:r>
      <w:r w:rsidR="00E005F6" w:rsidRPr="00DA1EBD">
        <w:rPr>
          <w:rFonts w:ascii="Cambria" w:hAnsi="Cambria"/>
          <w:sz w:val="20"/>
          <w:szCs w:val="20"/>
        </w:rPr>
        <w:t xml:space="preserve"> to the </w:t>
      </w:r>
      <w:r w:rsidR="00E005F6" w:rsidRPr="00DA1EBD">
        <w:rPr>
          <w:rFonts w:ascii="Cambria" w:hAnsi="Cambria"/>
          <w:i/>
          <w:sz w:val="20"/>
          <w:szCs w:val="20"/>
        </w:rPr>
        <w:t>tutela</w:t>
      </w:r>
      <w:r w:rsidR="00E005F6" w:rsidRPr="00DA1EBD">
        <w:rPr>
          <w:rFonts w:ascii="Cambria" w:hAnsi="Cambria"/>
          <w:sz w:val="20"/>
          <w:szCs w:val="20"/>
        </w:rPr>
        <w:t xml:space="preserve"> action to demand reparation f</w:t>
      </w:r>
      <w:r w:rsidR="005E687F" w:rsidRPr="00DA1EBD">
        <w:rPr>
          <w:rFonts w:ascii="Cambria" w:hAnsi="Cambria"/>
          <w:sz w:val="20"/>
          <w:szCs w:val="20"/>
        </w:rPr>
        <w:t>rom the Colombian State. The majority of them obtained</w:t>
      </w:r>
      <w:r w:rsidR="00E005F6" w:rsidRPr="00DA1EBD">
        <w:rPr>
          <w:rFonts w:ascii="Cambria" w:hAnsi="Cambria"/>
          <w:sz w:val="20"/>
          <w:szCs w:val="20"/>
        </w:rPr>
        <w:t xml:space="preserve"> a positive response to their claims. </w:t>
      </w:r>
      <w:r w:rsidR="0035022C" w:rsidRPr="00DA1EBD">
        <w:rPr>
          <w:rFonts w:ascii="Cambria" w:hAnsi="Cambria"/>
          <w:sz w:val="20"/>
          <w:szCs w:val="20"/>
        </w:rPr>
        <w:t>He points out</w:t>
      </w:r>
      <w:r w:rsidR="00E005F6" w:rsidRPr="00DA1EBD">
        <w:rPr>
          <w:rFonts w:ascii="Cambria" w:hAnsi="Cambria"/>
          <w:sz w:val="20"/>
          <w:szCs w:val="20"/>
        </w:rPr>
        <w:t xml:space="preserve"> that the Constitutional Court issued </w:t>
      </w:r>
      <w:r w:rsidR="005E687F" w:rsidRPr="00DA1EBD">
        <w:rPr>
          <w:rFonts w:ascii="Cambria" w:hAnsi="Cambria"/>
          <w:sz w:val="20"/>
          <w:szCs w:val="20"/>
        </w:rPr>
        <w:t>Decision</w:t>
      </w:r>
      <w:r w:rsidR="00E005F6" w:rsidRPr="00DA1EBD">
        <w:rPr>
          <w:rFonts w:ascii="Cambria" w:hAnsi="Cambria"/>
          <w:sz w:val="20"/>
          <w:szCs w:val="20"/>
        </w:rPr>
        <w:t xml:space="preserve"> 207 on June 30, 2010, </w:t>
      </w:r>
      <w:r w:rsidR="0035022C" w:rsidRPr="00DA1EBD">
        <w:rPr>
          <w:rFonts w:ascii="Cambria" w:hAnsi="Cambria"/>
          <w:sz w:val="20"/>
          <w:szCs w:val="20"/>
        </w:rPr>
        <w:t>which ordered a stay on</w:t>
      </w:r>
      <w:r w:rsidR="00E005F6" w:rsidRPr="00DA1EBD">
        <w:rPr>
          <w:rFonts w:ascii="Cambria" w:hAnsi="Cambria"/>
          <w:sz w:val="20"/>
          <w:szCs w:val="20"/>
        </w:rPr>
        <w:t xml:space="preserve"> compliance with any payment order relating to the compensation of damages caused to victims of forced displacement </w:t>
      </w:r>
      <w:r w:rsidR="0035022C" w:rsidRPr="00DA1EBD">
        <w:rPr>
          <w:rFonts w:ascii="Cambria" w:hAnsi="Cambria"/>
          <w:sz w:val="20"/>
          <w:szCs w:val="20"/>
        </w:rPr>
        <w:t xml:space="preserve">in connection with a </w:t>
      </w:r>
      <w:r w:rsidR="0035022C" w:rsidRPr="00DA1EBD">
        <w:rPr>
          <w:rFonts w:ascii="Cambria" w:hAnsi="Cambria"/>
          <w:i/>
          <w:sz w:val="20"/>
          <w:szCs w:val="20"/>
        </w:rPr>
        <w:t>tutela</w:t>
      </w:r>
      <w:r w:rsidR="0035022C" w:rsidRPr="00DA1EBD">
        <w:rPr>
          <w:rFonts w:ascii="Cambria" w:hAnsi="Cambria"/>
          <w:sz w:val="20"/>
          <w:szCs w:val="20"/>
        </w:rPr>
        <w:t xml:space="preserve"> action</w:t>
      </w:r>
      <w:r w:rsidR="00E005F6" w:rsidRPr="00DA1EBD">
        <w:rPr>
          <w:rFonts w:ascii="Cambria" w:hAnsi="Cambria"/>
          <w:sz w:val="20"/>
          <w:szCs w:val="20"/>
        </w:rPr>
        <w:t xml:space="preserve"> or </w:t>
      </w:r>
      <w:r w:rsidR="0035022C" w:rsidRPr="00DA1EBD">
        <w:rPr>
          <w:rFonts w:ascii="Cambria" w:hAnsi="Cambria"/>
          <w:sz w:val="20"/>
          <w:szCs w:val="20"/>
        </w:rPr>
        <w:t>settlement motions</w:t>
      </w:r>
      <w:r w:rsidR="00E005F6" w:rsidRPr="00DA1EBD">
        <w:rPr>
          <w:rFonts w:ascii="Cambria" w:hAnsi="Cambria"/>
          <w:sz w:val="20"/>
          <w:szCs w:val="20"/>
        </w:rPr>
        <w:t xml:space="preserve"> ordered by </w:t>
      </w:r>
      <w:r w:rsidR="0035022C" w:rsidRPr="00DA1EBD">
        <w:rPr>
          <w:rFonts w:ascii="Cambria" w:hAnsi="Cambria"/>
          <w:i/>
          <w:sz w:val="20"/>
          <w:szCs w:val="20"/>
        </w:rPr>
        <w:t>tutela</w:t>
      </w:r>
      <w:r w:rsidR="0035022C" w:rsidRPr="00DA1EBD">
        <w:rPr>
          <w:rFonts w:ascii="Cambria" w:hAnsi="Cambria"/>
          <w:sz w:val="20"/>
          <w:szCs w:val="20"/>
        </w:rPr>
        <w:t xml:space="preserve"> judges</w:t>
      </w:r>
      <w:r w:rsidR="00E005F6" w:rsidRPr="00DA1EBD">
        <w:rPr>
          <w:rFonts w:ascii="Cambria" w:hAnsi="Cambria"/>
          <w:sz w:val="20"/>
          <w:szCs w:val="20"/>
        </w:rPr>
        <w:t xml:space="preserve">. </w:t>
      </w:r>
      <w:r w:rsidR="0035022C" w:rsidRPr="00DA1EBD">
        <w:rPr>
          <w:rFonts w:ascii="Cambria" w:hAnsi="Cambria"/>
          <w:sz w:val="20"/>
          <w:szCs w:val="20"/>
        </w:rPr>
        <w:t>This was done on</w:t>
      </w:r>
      <w:r w:rsidR="00E005F6" w:rsidRPr="00DA1EBD">
        <w:rPr>
          <w:rFonts w:ascii="Cambria" w:hAnsi="Cambria"/>
          <w:sz w:val="20"/>
          <w:szCs w:val="20"/>
        </w:rPr>
        <w:t xml:space="preserve"> the understanding that there could be a violation of the right to equality due to the absence of unified criteria on the application of the mechanisms and appropriate means to make reparation effective.</w:t>
      </w:r>
    </w:p>
    <w:p w14:paraId="23EB0CE2" w14:textId="2822F5B0" w:rsidR="007D0305" w:rsidRPr="009A67DA" w:rsidRDefault="00330AC2" w:rsidP="009A67D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A67DA">
        <w:rPr>
          <w:rFonts w:ascii="Cambria" w:hAnsi="Cambria"/>
          <w:sz w:val="20"/>
          <w:szCs w:val="20"/>
        </w:rPr>
        <w:t>The petitioner</w:t>
      </w:r>
      <w:r w:rsidR="009671DC" w:rsidRPr="009A67DA">
        <w:rPr>
          <w:rFonts w:ascii="Cambria" w:hAnsi="Cambria"/>
          <w:sz w:val="20"/>
          <w:szCs w:val="20"/>
        </w:rPr>
        <w:t xml:space="preserve"> states that </w:t>
      </w:r>
      <w:r w:rsidR="005E687F" w:rsidRPr="009A67DA">
        <w:rPr>
          <w:rFonts w:ascii="Cambria" w:hAnsi="Cambria"/>
          <w:sz w:val="20"/>
          <w:szCs w:val="20"/>
        </w:rPr>
        <w:t>as a result of</w:t>
      </w:r>
      <w:r w:rsidR="009671DC" w:rsidRPr="009A67DA">
        <w:rPr>
          <w:rFonts w:ascii="Cambria" w:hAnsi="Cambria"/>
          <w:sz w:val="20"/>
          <w:szCs w:val="20"/>
        </w:rPr>
        <w:t xml:space="preserve"> this decision</w:t>
      </w:r>
      <w:r w:rsidR="005E687F" w:rsidRPr="009A67DA">
        <w:rPr>
          <w:rFonts w:ascii="Cambria" w:hAnsi="Cambria"/>
          <w:sz w:val="20"/>
          <w:szCs w:val="20"/>
        </w:rPr>
        <w:t>,</w:t>
      </w:r>
      <w:r w:rsidR="009671DC" w:rsidRPr="009A67DA">
        <w:rPr>
          <w:rFonts w:ascii="Cambria" w:hAnsi="Cambria"/>
          <w:sz w:val="20"/>
          <w:szCs w:val="20"/>
        </w:rPr>
        <w:t xml:space="preserve"> the </w:t>
      </w:r>
      <w:r w:rsidRPr="009A67DA">
        <w:rPr>
          <w:rFonts w:ascii="Cambria" w:hAnsi="Cambria"/>
          <w:sz w:val="20"/>
          <w:szCs w:val="20"/>
        </w:rPr>
        <w:t>assessments</w:t>
      </w:r>
      <w:r w:rsidR="009671DC" w:rsidRPr="009A67DA">
        <w:rPr>
          <w:rFonts w:ascii="Cambria" w:hAnsi="Cambria"/>
          <w:sz w:val="20"/>
          <w:szCs w:val="20"/>
        </w:rPr>
        <w:t xml:space="preserve"> and payment of reparations recognized by </w:t>
      </w:r>
      <w:r w:rsidR="009A67DA" w:rsidRPr="009A67DA">
        <w:rPr>
          <w:rFonts w:ascii="Cambria" w:hAnsi="Cambria"/>
          <w:sz w:val="20"/>
          <w:szCs w:val="20"/>
        </w:rPr>
        <w:t xml:space="preserve">a </w:t>
      </w:r>
      <w:r w:rsidR="009A67DA" w:rsidRPr="005D728C">
        <w:rPr>
          <w:rFonts w:ascii="Cambria" w:hAnsi="Cambria"/>
          <w:sz w:val="20"/>
          <w:szCs w:val="20"/>
        </w:rPr>
        <w:t>writ of protection of constitutional rights</w:t>
      </w:r>
      <w:r w:rsidR="009A67DA" w:rsidRPr="009A67DA">
        <w:rPr>
          <w:rFonts w:ascii="Cambria" w:hAnsi="Cambria"/>
          <w:i/>
          <w:sz w:val="20"/>
          <w:szCs w:val="20"/>
        </w:rPr>
        <w:t xml:space="preserve"> (acción de tutela) </w:t>
      </w:r>
      <w:r w:rsidRPr="009A67DA">
        <w:rPr>
          <w:rFonts w:ascii="Cambria" w:hAnsi="Cambria"/>
          <w:sz w:val="20"/>
          <w:szCs w:val="20"/>
        </w:rPr>
        <w:t>were</w:t>
      </w:r>
      <w:r w:rsidR="009671DC" w:rsidRPr="009A67DA">
        <w:rPr>
          <w:rFonts w:ascii="Cambria" w:hAnsi="Cambria"/>
          <w:sz w:val="20"/>
          <w:szCs w:val="20"/>
        </w:rPr>
        <w:t xml:space="preserve"> suspended and, in addition, the viability of the </w:t>
      </w:r>
      <w:r w:rsidRPr="009A67DA">
        <w:rPr>
          <w:rFonts w:ascii="Cambria" w:hAnsi="Cambria"/>
          <w:i/>
          <w:sz w:val="20"/>
          <w:szCs w:val="20"/>
        </w:rPr>
        <w:t>tutela</w:t>
      </w:r>
      <w:r w:rsidRPr="009A67DA">
        <w:rPr>
          <w:rFonts w:ascii="Cambria" w:hAnsi="Cambria"/>
          <w:sz w:val="20"/>
          <w:szCs w:val="20"/>
        </w:rPr>
        <w:t xml:space="preserve"> </w:t>
      </w:r>
      <w:r w:rsidR="009671DC" w:rsidRPr="009A67DA">
        <w:rPr>
          <w:rFonts w:ascii="Cambria" w:hAnsi="Cambria"/>
          <w:sz w:val="20"/>
          <w:szCs w:val="20"/>
        </w:rPr>
        <w:t>was questioned as an appropriate judicial mechanism to obtain administrativ</w:t>
      </w:r>
      <w:r w:rsidR="008B4DBA" w:rsidRPr="009A67DA">
        <w:rPr>
          <w:rFonts w:ascii="Cambria" w:hAnsi="Cambria"/>
          <w:sz w:val="20"/>
          <w:szCs w:val="20"/>
        </w:rPr>
        <w:t>e reparation. He</w:t>
      </w:r>
      <w:r w:rsidR="009671DC" w:rsidRPr="009A67DA">
        <w:rPr>
          <w:rFonts w:ascii="Cambria" w:hAnsi="Cambria"/>
          <w:sz w:val="20"/>
          <w:szCs w:val="20"/>
        </w:rPr>
        <w:t xml:space="preserve"> emphasizes that in order to lift this suspension, a request for </w:t>
      </w:r>
      <w:r w:rsidR="00C53B07" w:rsidRPr="009A67DA">
        <w:rPr>
          <w:rFonts w:ascii="Cambria" w:hAnsi="Cambria"/>
          <w:sz w:val="20"/>
          <w:szCs w:val="20"/>
        </w:rPr>
        <w:t>administrative judicial oversight</w:t>
      </w:r>
      <w:r w:rsidR="009671DC" w:rsidRPr="009A67DA">
        <w:rPr>
          <w:rFonts w:ascii="Cambria" w:hAnsi="Cambria"/>
          <w:sz w:val="20"/>
          <w:szCs w:val="20"/>
        </w:rPr>
        <w:t xml:space="preserve"> was filed against the Plenary of the Constitutional Court, which was denied by the Superior Council of the Judiciary and the </w:t>
      </w:r>
      <w:r w:rsidR="00C53B07" w:rsidRPr="009A67DA">
        <w:rPr>
          <w:rFonts w:ascii="Cambria" w:hAnsi="Cambria"/>
          <w:sz w:val="20"/>
          <w:szCs w:val="20"/>
        </w:rPr>
        <w:t>General Procurator’s</w:t>
      </w:r>
      <w:r w:rsidR="009671DC" w:rsidRPr="009A67DA">
        <w:rPr>
          <w:rFonts w:ascii="Cambria" w:hAnsi="Cambria"/>
          <w:sz w:val="20"/>
          <w:szCs w:val="20"/>
        </w:rPr>
        <w:t xml:space="preserve"> Office, </w:t>
      </w:r>
      <w:r w:rsidR="008B4DBA" w:rsidRPr="009A67DA">
        <w:rPr>
          <w:rFonts w:ascii="Cambria" w:hAnsi="Cambria"/>
          <w:sz w:val="20"/>
          <w:szCs w:val="20"/>
        </w:rPr>
        <w:t>on the grounds of a</w:t>
      </w:r>
      <w:r w:rsidR="009671DC" w:rsidRPr="009A67DA">
        <w:rPr>
          <w:rFonts w:ascii="Cambria" w:hAnsi="Cambria"/>
          <w:sz w:val="20"/>
          <w:szCs w:val="20"/>
        </w:rPr>
        <w:t xml:space="preserve"> lack of jurisdiction. </w:t>
      </w:r>
      <w:r w:rsidR="008B4DBA" w:rsidRPr="009A67DA">
        <w:rPr>
          <w:rFonts w:ascii="Cambria" w:hAnsi="Cambria"/>
          <w:sz w:val="20"/>
          <w:szCs w:val="20"/>
        </w:rPr>
        <w:t>He</w:t>
      </w:r>
      <w:r w:rsidR="009671DC" w:rsidRPr="009A67DA">
        <w:rPr>
          <w:rFonts w:ascii="Cambria" w:hAnsi="Cambria"/>
          <w:sz w:val="20"/>
          <w:szCs w:val="20"/>
        </w:rPr>
        <w:t xml:space="preserve"> indicates that the suspension was maintained until the Constitutional Court issued </w:t>
      </w:r>
      <w:r w:rsidR="00BD41FB" w:rsidRPr="009A67DA">
        <w:rPr>
          <w:rFonts w:ascii="Cambria" w:hAnsi="Cambria"/>
          <w:sz w:val="20"/>
          <w:szCs w:val="20"/>
        </w:rPr>
        <w:t xml:space="preserve">consolidated judgment </w:t>
      </w:r>
      <w:r w:rsidR="009671DC" w:rsidRPr="009A67DA">
        <w:rPr>
          <w:rFonts w:ascii="Cambria" w:hAnsi="Cambria"/>
          <w:sz w:val="20"/>
          <w:szCs w:val="20"/>
        </w:rPr>
        <w:t>SU-254 of 2013, which directly ordered payment of administr</w:t>
      </w:r>
      <w:r w:rsidR="00BD41FB" w:rsidRPr="009A67DA">
        <w:rPr>
          <w:rFonts w:ascii="Cambria" w:hAnsi="Cambria"/>
          <w:sz w:val="20"/>
          <w:szCs w:val="20"/>
        </w:rPr>
        <w:t>ative compensation to 8 family groups</w:t>
      </w:r>
      <w:r w:rsidR="009671DC" w:rsidRPr="009A67DA">
        <w:rPr>
          <w:rFonts w:ascii="Cambria" w:hAnsi="Cambria"/>
          <w:sz w:val="20"/>
          <w:szCs w:val="20"/>
        </w:rPr>
        <w:t xml:space="preserve"> who were </w:t>
      </w:r>
      <w:r w:rsidR="009671DC" w:rsidRPr="009A67DA">
        <w:rPr>
          <w:rFonts w:ascii="Cambria" w:hAnsi="Cambria"/>
          <w:sz w:val="20"/>
          <w:szCs w:val="20"/>
        </w:rPr>
        <w:lastRenderedPageBreak/>
        <w:t>vic</w:t>
      </w:r>
      <w:r w:rsidR="00BD41FB" w:rsidRPr="009A67DA">
        <w:rPr>
          <w:rFonts w:ascii="Cambria" w:hAnsi="Cambria"/>
          <w:sz w:val="20"/>
          <w:szCs w:val="20"/>
        </w:rPr>
        <w:t>tims of forced displacement. He points out that</w:t>
      </w:r>
      <w:r w:rsidR="009671DC" w:rsidRPr="009A67DA">
        <w:rPr>
          <w:rFonts w:ascii="Cambria" w:hAnsi="Cambria"/>
          <w:sz w:val="20"/>
          <w:szCs w:val="20"/>
        </w:rPr>
        <w:t xml:space="preserve"> the decision established </w:t>
      </w:r>
      <w:r w:rsidR="009671DC" w:rsidRPr="009A67DA">
        <w:rPr>
          <w:rFonts w:ascii="Cambria" w:hAnsi="Cambria"/>
          <w:i/>
          <w:sz w:val="20"/>
          <w:szCs w:val="20"/>
        </w:rPr>
        <w:t>inter</w:t>
      </w:r>
      <w:r w:rsidR="00BD41FB" w:rsidRPr="009A67DA">
        <w:rPr>
          <w:rFonts w:ascii="Cambria" w:hAnsi="Cambria"/>
          <w:i/>
          <w:sz w:val="20"/>
          <w:szCs w:val="20"/>
        </w:rPr>
        <w:t xml:space="preserve"> com</w:t>
      </w:r>
      <w:r w:rsidR="009671DC" w:rsidRPr="009A67DA">
        <w:rPr>
          <w:rFonts w:ascii="Cambria" w:hAnsi="Cambria"/>
          <w:i/>
          <w:sz w:val="20"/>
          <w:szCs w:val="20"/>
        </w:rPr>
        <w:t>unis</w:t>
      </w:r>
      <w:r w:rsidR="009671DC" w:rsidRPr="009A67DA">
        <w:rPr>
          <w:rFonts w:ascii="Cambria" w:hAnsi="Cambria"/>
          <w:sz w:val="20"/>
          <w:szCs w:val="20"/>
        </w:rPr>
        <w:t xml:space="preserve"> effects for analogous or similar cases, benefiting at least 136 family groups.</w:t>
      </w:r>
    </w:p>
    <w:p w14:paraId="16018129" w14:textId="6038220C" w:rsidR="007D0305" w:rsidRPr="00DA1EBD" w:rsidRDefault="009671D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A1EBD">
        <w:rPr>
          <w:rFonts w:ascii="Cambria" w:hAnsi="Cambria"/>
          <w:sz w:val="20"/>
          <w:szCs w:val="20"/>
        </w:rPr>
        <w:t xml:space="preserve">In addition, the petitioner points out that </w:t>
      </w:r>
      <w:r w:rsidR="00FE0A37" w:rsidRPr="00DA1EBD">
        <w:rPr>
          <w:rFonts w:ascii="Cambria" w:hAnsi="Cambria"/>
          <w:sz w:val="20"/>
          <w:szCs w:val="20"/>
        </w:rPr>
        <w:t xml:space="preserve">Judgment </w:t>
      </w:r>
      <w:r w:rsidRPr="00DA1EBD">
        <w:rPr>
          <w:rFonts w:ascii="Cambria" w:hAnsi="Cambria"/>
          <w:sz w:val="20"/>
          <w:szCs w:val="20"/>
        </w:rPr>
        <w:t>SU-254 of 2013</w:t>
      </w:r>
      <w:r w:rsidR="0083772B" w:rsidRPr="00DA1EBD">
        <w:rPr>
          <w:rFonts w:ascii="Cambria" w:hAnsi="Cambria"/>
          <w:sz w:val="20"/>
          <w:szCs w:val="20"/>
        </w:rPr>
        <w:t>,</w:t>
      </w:r>
      <w:r w:rsidRPr="00DA1EBD">
        <w:rPr>
          <w:rFonts w:ascii="Cambria" w:hAnsi="Cambria"/>
          <w:sz w:val="20"/>
          <w:szCs w:val="20"/>
        </w:rPr>
        <w:t xml:space="preserve"> </w:t>
      </w:r>
      <w:r w:rsidR="00FE0A37" w:rsidRPr="00DA1EBD">
        <w:rPr>
          <w:rFonts w:ascii="Cambria" w:hAnsi="Cambria"/>
          <w:sz w:val="20"/>
          <w:szCs w:val="20"/>
        </w:rPr>
        <w:t>dated</w:t>
      </w:r>
      <w:r w:rsidRPr="00DA1EBD">
        <w:rPr>
          <w:rFonts w:ascii="Cambria" w:hAnsi="Cambria"/>
          <w:sz w:val="20"/>
          <w:szCs w:val="20"/>
        </w:rPr>
        <w:t xml:space="preserve"> April 24, 2013</w:t>
      </w:r>
      <w:r w:rsidR="00FE0A37" w:rsidRPr="00DA1EBD">
        <w:rPr>
          <w:rFonts w:ascii="Cambria" w:hAnsi="Cambria"/>
          <w:sz w:val="20"/>
          <w:szCs w:val="20"/>
        </w:rPr>
        <w:t>,</w:t>
      </w:r>
      <w:r w:rsidRPr="00DA1EBD">
        <w:rPr>
          <w:rFonts w:ascii="Cambria" w:hAnsi="Cambria"/>
          <w:sz w:val="20"/>
          <w:szCs w:val="20"/>
        </w:rPr>
        <w:t xml:space="preserve"> reversed the </w:t>
      </w:r>
      <w:r w:rsidR="00FE0A37" w:rsidRPr="00DA1EBD">
        <w:rPr>
          <w:rFonts w:ascii="Cambria" w:hAnsi="Cambria"/>
          <w:sz w:val="20"/>
          <w:szCs w:val="20"/>
        </w:rPr>
        <w:t>abstract assessment of damages to victims of</w:t>
      </w:r>
      <w:r w:rsidRPr="00DA1EBD">
        <w:rPr>
          <w:rFonts w:ascii="Cambria" w:hAnsi="Cambria"/>
          <w:sz w:val="20"/>
          <w:szCs w:val="20"/>
        </w:rPr>
        <w:t xml:space="preserve"> </w:t>
      </w:r>
      <w:r w:rsidR="006E2CA5" w:rsidRPr="00DA1EBD">
        <w:rPr>
          <w:rFonts w:ascii="Cambria" w:hAnsi="Cambria"/>
          <w:sz w:val="20"/>
          <w:szCs w:val="20"/>
        </w:rPr>
        <w:t>forced displacement</w:t>
      </w:r>
      <w:r w:rsidRPr="00DA1EBD">
        <w:rPr>
          <w:rFonts w:ascii="Cambria" w:hAnsi="Cambria"/>
          <w:sz w:val="20"/>
          <w:szCs w:val="20"/>
        </w:rPr>
        <w:t xml:space="preserve"> ordered in judgm</w:t>
      </w:r>
      <w:r w:rsidR="00FE0A37" w:rsidRPr="00DA1EBD">
        <w:rPr>
          <w:rFonts w:ascii="Cambria" w:hAnsi="Cambria"/>
          <w:sz w:val="20"/>
          <w:szCs w:val="20"/>
        </w:rPr>
        <w:t>ent T-085 of 2009</w:t>
      </w:r>
      <w:r w:rsidR="006E2CA5" w:rsidRPr="00DA1EBD">
        <w:rPr>
          <w:rFonts w:ascii="Cambria" w:hAnsi="Cambria"/>
          <w:sz w:val="20"/>
          <w:szCs w:val="20"/>
        </w:rPr>
        <w:t>,</w:t>
      </w:r>
      <w:r w:rsidR="00FE0A37" w:rsidRPr="00DA1EBD">
        <w:rPr>
          <w:rFonts w:ascii="Cambria" w:hAnsi="Cambria"/>
          <w:sz w:val="20"/>
          <w:szCs w:val="20"/>
        </w:rPr>
        <w:t xml:space="preserve"> and imposed</w:t>
      </w:r>
      <w:r w:rsidRPr="00DA1EBD">
        <w:rPr>
          <w:rFonts w:ascii="Cambria" w:hAnsi="Cambria"/>
          <w:sz w:val="20"/>
          <w:szCs w:val="20"/>
        </w:rPr>
        <w:t xml:space="preserve"> administrative compensation based on Law 1448 of 2011, </w:t>
      </w:r>
      <w:r w:rsidR="006E2CA5" w:rsidRPr="00DA1EBD">
        <w:rPr>
          <w:rFonts w:ascii="Cambria" w:hAnsi="Cambria"/>
          <w:sz w:val="20"/>
          <w:szCs w:val="20"/>
        </w:rPr>
        <w:t xml:space="preserve">barring </w:t>
      </w:r>
      <w:r w:rsidR="0083772B" w:rsidRPr="00DA1EBD">
        <w:rPr>
          <w:rFonts w:ascii="Cambria" w:hAnsi="Cambria"/>
          <w:sz w:val="20"/>
          <w:szCs w:val="20"/>
        </w:rPr>
        <w:t>the</w:t>
      </w:r>
      <w:r w:rsidRPr="00DA1EBD">
        <w:rPr>
          <w:rFonts w:ascii="Cambria" w:hAnsi="Cambria"/>
          <w:sz w:val="20"/>
          <w:szCs w:val="20"/>
        </w:rPr>
        <w:t xml:space="preserve"> </w:t>
      </w:r>
      <w:r w:rsidR="006E2CA5" w:rsidRPr="00DA1EBD">
        <w:rPr>
          <w:rFonts w:ascii="Cambria" w:hAnsi="Cambria"/>
          <w:i/>
          <w:sz w:val="20"/>
          <w:szCs w:val="20"/>
        </w:rPr>
        <w:t>tutela</w:t>
      </w:r>
      <w:r w:rsidR="006E2CA5" w:rsidRPr="00DA1EBD">
        <w:rPr>
          <w:rFonts w:ascii="Cambria" w:hAnsi="Cambria"/>
          <w:sz w:val="20"/>
          <w:szCs w:val="20"/>
        </w:rPr>
        <w:t xml:space="preserve"> </w:t>
      </w:r>
      <w:r w:rsidR="0083772B" w:rsidRPr="00DA1EBD">
        <w:rPr>
          <w:rFonts w:ascii="Cambria" w:hAnsi="Cambria"/>
          <w:sz w:val="20"/>
          <w:szCs w:val="20"/>
        </w:rPr>
        <w:t>as a</w:t>
      </w:r>
      <w:r w:rsidR="000F0F45" w:rsidRPr="00DA1EBD">
        <w:rPr>
          <w:rFonts w:ascii="Cambria" w:hAnsi="Cambria"/>
          <w:sz w:val="20"/>
          <w:szCs w:val="20"/>
        </w:rPr>
        <w:t xml:space="preserve"> remedy</w:t>
      </w:r>
      <w:r w:rsidR="00FE0A37" w:rsidRPr="00DA1EBD">
        <w:rPr>
          <w:rFonts w:ascii="Cambria" w:hAnsi="Cambria"/>
          <w:sz w:val="20"/>
          <w:szCs w:val="20"/>
        </w:rPr>
        <w:t xml:space="preserve"> </w:t>
      </w:r>
      <w:r w:rsidRPr="00DA1EBD">
        <w:rPr>
          <w:rFonts w:ascii="Cambria" w:hAnsi="Cambria"/>
          <w:sz w:val="20"/>
          <w:szCs w:val="20"/>
        </w:rPr>
        <w:t xml:space="preserve">for their claim. </w:t>
      </w:r>
      <w:r w:rsidR="001A629F" w:rsidRPr="00DA1EBD">
        <w:rPr>
          <w:rFonts w:ascii="Cambria" w:hAnsi="Cambria"/>
          <w:sz w:val="20"/>
          <w:szCs w:val="20"/>
        </w:rPr>
        <w:t>He reports</w:t>
      </w:r>
      <w:r w:rsidRPr="00DA1EBD">
        <w:rPr>
          <w:rFonts w:ascii="Cambria" w:hAnsi="Cambria"/>
          <w:sz w:val="20"/>
          <w:szCs w:val="20"/>
        </w:rPr>
        <w:t xml:space="preserve"> that the 8 families </w:t>
      </w:r>
      <w:r w:rsidR="001A629F" w:rsidRPr="00DA1EBD">
        <w:rPr>
          <w:rFonts w:ascii="Cambria" w:hAnsi="Cambria"/>
          <w:sz w:val="20"/>
          <w:szCs w:val="20"/>
        </w:rPr>
        <w:t>received administrative indemnification</w:t>
      </w:r>
      <w:r w:rsidRPr="00DA1EBD">
        <w:rPr>
          <w:rFonts w:ascii="Cambria" w:hAnsi="Cambria"/>
          <w:sz w:val="20"/>
          <w:szCs w:val="20"/>
        </w:rPr>
        <w:t xml:space="preserve"> without the payment of default interest</w:t>
      </w:r>
      <w:r w:rsidR="001A629F" w:rsidRPr="00DA1EBD">
        <w:rPr>
          <w:rFonts w:ascii="Cambria" w:hAnsi="Cambria"/>
          <w:sz w:val="20"/>
          <w:szCs w:val="20"/>
        </w:rPr>
        <w:t>;</w:t>
      </w:r>
      <w:r w:rsidRPr="00DA1EBD">
        <w:rPr>
          <w:rFonts w:ascii="Cambria" w:hAnsi="Cambria"/>
          <w:sz w:val="20"/>
          <w:szCs w:val="20"/>
        </w:rPr>
        <w:t xml:space="preserve"> and the other groups, </w:t>
      </w:r>
      <w:r w:rsidR="001A629F" w:rsidRPr="00DA1EBD">
        <w:rPr>
          <w:rFonts w:ascii="Cambria" w:hAnsi="Cambria"/>
          <w:sz w:val="20"/>
          <w:szCs w:val="20"/>
        </w:rPr>
        <w:t xml:space="preserve">despite benefitting from </w:t>
      </w:r>
      <w:r w:rsidR="001A629F" w:rsidRPr="00DA1EBD">
        <w:rPr>
          <w:rFonts w:ascii="Cambria" w:hAnsi="Cambria"/>
          <w:i/>
          <w:sz w:val="20"/>
          <w:szCs w:val="20"/>
        </w:rPr>
        <w:t>inter comunis</w:t>
      </w:r>
      <w:r w:rsidR="001A629F" w:rsidRPr="00DA1EBD">
        <w:rPr>
          <w:rFonts w:ascii="Cambria" w:hAnsi="Cambria"/>
          <w:sz w:val="20"/>
          <w:szCs w:val="20"/>
        </w:rPr>
        <w:t xml:space="preserve"> effects</w:t>
      </w:r>
      <w:r w:rsidRPr="00DA1EBD">
        <w:rPr>
          <w:rFonts w:ascii="Cambria" w:hAnsi="Cambria"/>
          <w:sz w:val="20"/>
          <w:szCs w:val="20"/>
        </w:rPr>
        <w:t xml:space="preserve">, were not paid with the approval of the Constitutional Court. In this regard, </w:t>
      </w:r>
      <w:r w:rsidR="001A629F" w:rsidRPr="00DA1EBD">
        <w:rPr>
          <w:rFonts w:ascii="Cambria" w:hAnsi="Cambria"/>
          <w:sz w:val="20"/>
          <w:szCs w:val="20"/>
        </w:rPr>
        <w:t>he notes</w:t>
      </w:r>
      <w:r w:rsidRPr="00DA1EBD">
        <w:rPr>
          <w:rFonts w:ascii="Cambria" w:hAnsi="Cambria"/>
          <w:sz w:val="20"/>
          <w:szCs w:val="20"/>
        </w:rPr>
        <w:t xml:space="preserve"> that the alleged victims </w:t>
      </w:r>
      <w:r w:rsidR="000F0F45" w:rsidRPr="00DA1EBD">
        <w:rPr>
          <w:rFonts w:ascii="Cambria" w:hAnsi="Cambria"/>
          <w:sz w:val="20"/>
          <w:szCs w:val="20"/>
        </w:rPr>
        <w:t>submitted</w:t>
      </w:r>
      <w:r w:rsidRPr="00DA1EBD">
        <w:rPr>
          <w:rFonts w:ascii="Cambria" w:hAnsi="Cambria"/>
          <w:sz w:val="20"/>
          <w:szCs w:val="20"/>
        </w:rPr>
        <w:t xml:space="preserve"> the</w:t>
      </w:r>
      <w:r w:rsidR="001A629F" w:rsidRPr="00DA1EBD">
        <w:rPr>
          <w:rFonts w:ascii="Cambria" w:hAnsi="Cambria"/>
          <w:sz w:val="20"/>
          <w:szCs w:val="20"/>
        </w:rPr>
        <w:t>ir</w:t>
      </w:r>
      <w:r w:rsidRPr="00DA1EBD">
        <w:rPr>
          <w:rFonts w:ascii="Cambria" w:hAnsi="Cambria"/>
          <w:sz w:val="20"/>
          <w:szCs w:val="20"/>
        </w:rPr>
        <w:t xml:space="preserve"> respective </w:t>
      </w:r>
      <w:r w:rsidR="001A629F" w:rsidRPr="00DA1EBD">
        <w:rPr>
          <w:rFonts w:ascii="Cambria" w:hAnsi="Cambria"/>
          <w:sz w:val="20"/>
          <w:szCs w:val="20"/>
        </w:rPr>
        <w:t>damage assessments</w:t>
      </w:r>
      <w:r w:rsidRPr="00DA1EBD">
        <w:rPr>
          <w:rFonts w:ascii="Cambria" w:hAnsi="Cambria"/>
          <w:sz w:val="20"/>
          <w:szCs w:val="20"/>
        </w:rPr>
        <w:t xml:space="preserve"> and subsequent executive claims without obtaining an affirmative response from the judicial and administrative authorities. </w:t>
      </w:r>
      <w:r w:rsidR="001A629F" w:rsidRPr="00DA1EBD">
        <w:rPr>
          <w:rFonts w:ascii="Cambria" w:hAnsi="Cambria"/>
          <w:sz w:val="20"/>
          <w:szCs w:val="20"/>
        </w:rPr>
        <w:t>He</w:t>
      </w:r>
      <w:r w:rsidRPr="00DA1EBD">
        <w:rPr>
          <w:rFonts w:ascii="Cambria" w:hAnsi="Cambria"/>
          <w:sz w:val="20"/>
          <w:szCs w:val="20"/>
        </w:rPr>
        <w:t xml:space="preserve"> also notes that the Special Follow-up </w:t>
      </w:r>
      <w:r w:rsidR="001A629F" w:rsidRPr="00DA1EBD">
        <w:rPr>
          <w:rFonts w:ascii="Cambria" w:hAnsi="Cambria"/>
          <w:sz w:val="20"/>
          <w:szCs w:val="20"/>
        </w:rPr>
        <w:t xml:space="preserve">Chamber </w:t>
      </w:r>
      <w:r w:rsidRPr="00DA1EBD">
        <w:rPr>
          <w:rFonts w:ascii="Cambria" w:hAnsi="Cambria"/>
          <w:sz w:val="20"/>
          <w:szCs w:val="20"/>
        </w:rPr>
        <w:t xml:space="preserve">of the Constitutional Court </w:t>
      </w:r>
      <w:r w:rsidR="00D06A9C" w:rsidRPr="00DA1EBD">
        <w:rPr>
          <w:rFonts w:ascii="Cambria" w:hAnsi="Cambria"/>
          <w:sz w:val="20"/>
          <w:szCs w:val="20"/>
        </w:rPr>
        <w:t>relieved</w:t>
      </w:r>
      <w:r w:rsidR="000F0F45" w:rsidRPr="00DA1EBD">
        <w:rPr>
          <w:rFonts w:ascii="Cambria" w:hAnsi="Cambria"/>
          <w:sz w:val="20"/>
          <w:szCs w:val="20"/>
        </w:rPr>
        <w:t xml:space="preserve"> the entity in charge of </w:t>
      </w:r>
      <w:r w:rsidR="00D06A9C" w:rsidRPr="00DA1EBD">
        <w:rPr>
          <w:rFonts w:ascii="Cambria" w:hAnsi="Cambria"/>
          <w:sz w:val="20"/>
          <w:szCs w:val="20"/>
        </w:rPr>
        <w:t>recognition and payment of any</w:t>
      </w:r>
      <w:r w:rsidRPr="00DA1EBD">
        <w:rPr>
          <w:rFonts w:ascii="Cambria" w:hAnsi="Cambria"/>
          <w:sz w:val="20"/>
          <w:szCs w:val="20"/>
        </w:rPr>
        <w:t xml:space="preserve"> constitutional obligation</w:t>
      </w:r>
      <w:r w:rsidR="00D06A9C" w:rsidRPr="00DA1EBD">
        <w:rPr>
          <w:rFonts w:ascii="Cambria" w:hAnsi="Cambria"/>
          <w:sz w:val="20"/>
          <w:szCs w:val="20"/>
        </w:rPr>
        <w:t>,</w:t>
      </w:r>
      <w:r w:rsidR="000F0F45" w:rsidRPr="00DA1EBD">
        <w:rPr>
          <w:rFonts w:ascii="Cambria" w:hAnsi="Cambria"/>
          <w:sz w:val="20"/>
          <w:szCs w:val="20"/>
        </w:rPr>
        <w:t xml:space="preserve"> </w:t>
      </w:r>
      <w:r w:rsidR="00D06A9C" w:rsidRPr="00DA1EBD">
        <w:rPr>
          <w:rFonts w:ascii="Cambria" w:hAnsi="Cambria"/>
          <w:sz w:val="20"/>
          <w:szCs w:val="20"/>
        </w:rPr>
        <w:t xml:space="preserve">and stated that </w:t>
      </w:r>
      <w:r w:rsidR="000F0F45" w:rsidRPr="00DA1EBD">
        <w:rPr>
          <w:rFonts w:ascii="Cambria" w:hAnsi="Cambria"/>
          <w:sz w:val="20"/>
          <w:szCs w:val="20"/>
        </w:rPr>
        <w:t>non-compliance</w:t>
      </w:r>
      <w:r w:rsidR="00D06A9C" w:rsidRPr="00DA1EBD">
        <w:rPr>
          <w:rFonts w:ascii="Cambria" w:hAnsi="Cambria"/>
          <w:sz w:val="20"/>
          <w:szCs w:val="20"/>
        </w:rPr>
        <w:t xml:space="preserve"> proceedings would only be </w:t>
      </w:r>
      <w:r w:rsidR="00DA1EBD" w:rsidRPr="00DA1EBD">
        <w:rPr>
          <w:rFonts w:ascii="Cambria" w:hAnsi="Cambria"/>
          <w:sz w:val="20"/>
          <w:szCs w:val="20"/>
        </w:rPr>
        <w:t>admitted</w:t>
      </w:r>
      <w:r w:rsidR="000F0F45" w:rsidRPr="00DA1EBD">
        <w:rPr>
          <w:rFonts w:ascii="Cambria" w:hAnsi="Cambria"/>
          <w:sz w:val="20"/>
          <w:szCs w:val="20"/>
        </w:rPr>
        <w:t xml:space="preserve"> in cases of verified</w:t>
      </w:r>
      <w:r w:rsidR="00D06A9C" w:rsidRPr="00DA1EBD">
        <w:rPr>
          <w:rFonts w:ascii="Cambria" w:hAnsi="Cambria"/>
          <w:sz w:val="20"/>
          <w:szCs w:val="20"/>
        </w:rPr>
        <w:t xml:space="preserve"> neglect and negligence due to the complexity in abiding by the </w:t>
      </w:r>
      <w:r w:rsidR="00D06A9C" w:rsidRPr="00DA1EBD">
        <w:rPr>
          <w:rFonts w:ascii="Cambria" w:hAnsi="Cambria"/>
          <w:i/>
          <w:sz w:val="20"/>
          <w:szCs w:val="20"/>
        </w:rPr>
        <w:t>tutela</w:t>
      </w:r>
      <w:r w:rsidR="00D06A9C" w:rsidRPr="00DA1EBD">
        <w:rPr>
          <w:rFonts w:ascii="Cambria" w:hAnsi="Cambria"/>
          <w:sz w:val="20"/>
          <w:szCs w:val="20"/>
        </w:rPr>
        <w:t xml:space="preserve"> decision, </w:t>
      </w:r>
      <w:r w:rsidRPr="00DA1EBD">
        <w:rPr>
          <w:rFonts w:ascii="Cambria" w:hAnsi="Cambria"/>
          <w:sz w:val="20"/>
          <w:szCs w:val="20"/>
        </w:rPr>
        <w:t xml:space="preserve">thus making compliance and </w:t>
      </w:r>
      <w:r w:rsidR="004E39A8" w:rsidRPr="00DA1EBD">
        <w:rPr>
          <w:rFonts w:ascii="Cambria" w:hAnsi="Cambria"/>
          <w:sz w:val="20"/>
          <w:szCs w:val="20"/>
        </w:rPr>
        <w:t xml:space="preserve">the claim for </w:t>
      </w:r>
      <w:r w:rsidRPr="00DA1EBD">
        <w:rPr>
          <w:rFonts w:ascii="Cambria" w:hAnsi="Cambria"/>
          <w:sz w:val="20"/>
          <w:szCs w:val="20"/>
        </w:rPr>
        <w:t>reparation impossible.</w:t>
      </w:r>
    </w:p>
    <w:p w14:paraId="632EE3FD" w14:textId="7C7FEF3F" w:rsidR="007D0305" w:rsidRPr="00DA1EBD" w:rsidRDefault="009671D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A1EBD">
        <w:rPr>
          <w:rFonts w:ascii="Cambria" w:hAnsi="Cambria"/>
          <w:sz w:val="20"/>
          <w:szCs w:val="20"/>
        </w:rPr>
        <w:t xml:space="preserve">For its part, the State </w:t>
      </w:r>
      <w:r w:rsidR="00522F2B" w:rsidRPr="00DA1EBD">
        <w:rPr>
          <w:rFonts w:ascii="Cambria" w:hAnsi="Cambria"/>
          <w:sz w:val="20"/>
          <w:szCs w:val="20"/>
        </w:rPr>
        <w:t>asserts</w:t>
      </w:r>
      <w:r w:rsidRPr="00DA1EBD">
        <w:rPr>
          <w:rFonts w:ascii="Cambria" w:hAnsi="Cambria"/>
          <w:sz w:val="20"/>
          <w:szCs w:val="20"/>
        </w:rPr>
        <w:t xml:space="preserve"> that </w:t>
      </w:r>
      <w:r w:rsidR="00522F2B" w:rsidRPr="00DA1EBD">
        <w:rPr>
          <w:rFonts w:ascii="Cambria" w:hAnsi="Cambria"/>
          <w:sz w:val="20"/>
          <w:szCs w:val="20"/>
        </w:rPr>
        <w:t xml:space="preserve">there has been a failure to exhaust </w:t>
      </w:r>
      <w:r w:rsidRPr="00DA1EBD">
        <w:rPr>
          <w:rFonts w:ascii="Cambria" w:hAnsi="Cambria"/>
          <w:sz w:val="20"/>
          <w:szCs w:val="20"/>
        </w:rPr>
        <w:t xml:space="preserve">the adequate and effective remedies </w:t>
      </w:r>
      <w:r w:rsidR="00522F2B" w:rsidRPr="00DA1EBD">
        <w:rPr>
          <w:rFonts w:ascii="Cambria" w:hAnsi="Cambria"/>
          <w:sz w:val="20"/>
          <w:szCs w:val="20"/>
        </w:rPr>
        <w:t>provided by</w:t>
      </w:r>
      <w:r w:rsidRPr="00DA1EBD">
        <w:rPr>
          <w:rFonts w:ascii="Cambria" w:hAnsi="Cambria"/>
          <w:sz w:val="20"/>
          <w:szCs w:val="20"/>
        </w:rPr>
        <w:t xml:space="preserve"> the Colombian legal system</w:t>
      </w:r>
      <w:r w:rsidR="00522F2B" w:rsidRPr="00DA1EBD">
        <w:rPr>
          <w:rFonts w:ascii="Cambria" w:hAnsi="Cambria"/>
          <w:sz w:val="20"/>
          <w:szCs w:val="20"/>
        </w:rPr>
        <w:t xml:space="preserve"> and therefore the </w:t>
      </w:r>
      <w:r w:rsidRPr="00DA1EBD">
        <w:rPr>
          <w:rFonts w:ascii="Cambria" w:hAnsi="Cambria"/>
          <w:sz w:val="20"/>
          <w:szCs w:val="20"/>
        </w:rPr>
        <w:t>petition must be declared ina</w:t>
      </w:r>
      <w:r w:rsidR="001E7356" w:rsidRPr="00DA1EBD">
        <w:rPr>
          <w:rFonts w:ascii="Cambria" w:hAnsi="Cambria"/>
          <w:sz w:val="20"/>
          <w:szCs w:val="20"/>
        </w:rPr>
        <w:t xml:space="preserve">dmissible. It emphasizes that </w:t>
      </w:r>
      <w:r w:rsidRPr="00DA1EBD">
        <w:rPr>
          <w:rFonts w:ascii="Cambria" w:hAnsi="Cambria"/>
          <w:sz w:val="20"/>
          <w:szCs w:val="20"/>
        </w:rPr>
        <w:t>serious, impartial and independent criminal proceeding</w:t>
      </w:r>
      <w:r w:rsidR="00522F2B" w:rsidRPr="00DA1EBD">
        <w:rPr>
          <w:rFonts w:ascii="Cambria" w:hAnsi="Cambria"/>
          <w:sz w:val="20"/>
          <w:szCs w:val="20"/>
        </w:rPr>
        <w:t xml:space="preserve">s were </w:t>
      </w:r>
      <w:r w:rsidR="001E7356" w:rsidRPr="00DA1EBD">
        <w:rPr>
          <w:rFonts w:ascii="Cambria" w:hAnsi="Cambria"/>
          <w:sz w:val="20"/>
          <w:szCs w:val="20"/>
        </w:rPr>
        <w:t>initiated</w:t>
      </w:r>
      <w:r w:rsidRPr="00DA1EBD">
        <w:rPr>
          <w:rFonts w:ascii="Cambria" w:hAnsi="Cambria"/>
          <w:sz w:val="20"/>
          <w:szCs w:val="20"/>
        </w:rPr>
        <w:t xml:space="preserve">, </w:t>
      </w:r>
      <w:r w:rsidR="001E7356" w:rsidRPr="00DA1EBD">
        <w:rPr>
          <w:rFonts w:ascii="Cambria" w:hAnsi="Cambria"/>
          <w:sz w:val="20"/>
          <w:szCs w:val="20"/>
        </w:rPr>
        <w:t xml:space="preserve">and that progress and </w:t>
      </w:r>
      <w:r w:rsidRPr="00DA1EBD">
        <w:rPr>
          <w:rFonts w:ascii="Cambria" w:hAnsi="Cambria"/>
          <w:sz w:val="20"/>
          <w:szCs w:val="20"/>
        </w:rPr>
        <w:t xml:space="preserve">results </w:t>
      </w:r>
      <w:r w:rsidR="00522F2B" w:rsidRPr="00DA1EBD">
        <w:rPr>
          <w:rFonts w:ascii="Cambria" w:hAnsi="Cambria"/>
          <w:sz w:val="20"/>
          <w:szCs w:val="20"/>
        </w:rPr>
        <w:t>we</w:t>
      </w:r>
      <w:r w:rsidR="001E7356" w:rsidRPr="00DA1EBD">
        <w:rPr>
          <w:rFonts w:ascii="Cambria" w:hAnsi="Cambria"/>
          <w:sz w:val="20"/>
          <w:szCs w:val="20"/>
        </w:rPr>
        <w:t>re achieved</w:t>
      </w:r>
      <w:r w:rsidRPr="00DA1EBD">
        <w:rPr>
          <w:rFonts w:ascii="Cambria" w:hAnsi="Cambria"/>
          <w:sz w:val="20"/>
          <w:szCs w:val="20"/>
        </w:rPr>
        <w:t xml:space="preserve"> within a reasonable period of time</w:t>
      </w:r>
      <w:r w:rsidR="00522F2B" w:rsidRPr="00DA1EBD">
        <w:rPr>
          <w:rFonts w:ascii="Cambria" w:hAnsi="Cambria"/>
          <w:sz w:val="20"/>
          <w:szCs w:val="20"/>
        </w:rPr>
        <w:t>, taking into consideration</w:t>
      </w:r>
      <w:r w:rsidRPr="00DA1EBD">
        <w:rPr>
          <w:rFonts w:ascii="Cambria" w:hAnsi="Cambria"/>
          <w:sz w:val="20"/>
          <w:szCs w:val="20"/>
        </w:rPr>
        <w:t xml:space="preserve"> the complexity of the matter and the procedural activity of the interested party. It points out that the investigative bodies </w:t>
      </w:r>
      <w:r w:rsidR="00522F2B" w:rsidRPr="00DA1EBD">
        <w:rPr>
          <w:rFonts w:ascii="Cambria" w:hAnsi="Cambria"/>
          <w:sz w:val="20"/>
          <w:szCs w:val="20"/>
        </w:rPr>
        <w:t>are confronted with</w:t>
      </w:r>
      <w:r w:rsidRPr="00DA1EBD">
        <w:rPr>
          <w:rFonts w:ascii="Cambria" w:hAnsi="Cambria"/>
          <w:sz w:val="20"/>
          <w:szCs w:val="20"/>
        </w:rPr>
        <w:t xml:space="preserve"> an </w:t>
      </w:r>
      <w:r w:rsidR="00522F2B" w:rsidRPr="00DA1EBD">
        <w:rPr>
          <w:rFonts w:ascii="Cambria" w:hAnsi="Cambria"/>
          <w:sz w:val="20"/>
          <w:szCs w:val="20"/>
        </w:rPr>
        <w:t>obvious</w:t>
      </w:r>
      <w:r w:rsidRPr="00DA1EBD">
        <w:rPr>
          <w:rFonts w:ascii="Cambria" w:hAnsi="Cambria"/>
          <w:sz w:val="20"/>
          <w:szCs w:val="20"/>
        </w:rPr>
        <w:t xml:space="preserve"> difficulty due to the large number of alleged victims of this crime, the significa</w:t>
      </w:r>
      <w:r w:rsidR="001E7356" w:rsidRPr="00DA1EBD">
        <w:rPr>
          <w:rFonts w:ascii="Cambria" w:hAnsi="Cambria"/>
          <w:sz w:val="20"/>
          <w:szCs w:val="20"/>
        </w:rPr>
        <w:t>nt number of possible perpetrators</w:t>
      </w:r>
      <w:r w:rsidRPr="00DA1EBD">
        <w:rPr>
          <w:rFonts w:ascii="Cambria" w:hAnsi="Cambria"/>
          <w:sz w:val="20"/>
          <w:szCs w:val="20"/>
        </w:rPr>
        <w:t xml:space="preserve">, the possible death of several of them and the dynamics </w:t>
      </w:r>
      <w:r w:rsidR="00522F2B" w:rsidRPr="00DA1EBD">
        <w:rPr>
          <w:rFonts w:ascii="Cambria" w:hAnsi="Cambria"/>
          <w:sz w:val="20"/>
          <w:szCs w:val="20"/>
        </w:rPr>
        <w:t>of t</w:t>
      </w:r>
      <w:r w:rsidR="001E7356" w:rsidRPr="00DA1EBD">
        <w:rPr>
          <w:rFonts w:ascii="Cambria" w:hAnsi="Cambria"/>
          <w:sz w:val="20"/>
          <w:szCs w:val="20"/>
        </w:rPr>
        <w:t>he illegal armed groups’ activities</w:t>
      </w:r>
      <w:r w:rsidR="00522F2B" w:rsidRPr="00DA1EBD">
        <w:rPr>
          <w:rFonts w:ascii="Cambria" w:hAnsi="Cambria"/>
          <w:sz w:val="20"/>
          <w:szCs w:val="20"/>
        </w:rPr>
        <w:t xml:space="preserve"> </w:t>
      </w:r>
      <w:r w:rsidRPr="00DA1EBD">
        <w:rPr>
          <w:rFonts w:ascii="Cambria" w:hAnsi="Cambria"/>
          <w:sz w:val="20"/>
          <w:szCs w:val="20"/>
        </w:rPr>
        <w:t xml:space="preserve">whose purpose </w:t>
      </w:r>
      <w:r w:rsidR="00522F2B" w:rsidRPr="00DA1EBD">
        <w:rPr>
          <w:rFonts w:ascii="Cambria" w:hAnsi="Cambria"/>
          <w:sz w:val="20"/>
          <w:szCs w:val="20"/>
        </w:rPr>
        <w:t>is</w:t>
      </w:r>
      <w:r w:rsidRPr="00DA1EBD">
        <w:rPr>
          <w:rFonts w:ascii="Cambria" w:hAnsi="Cambria"/>
          <w:sz w:val="20"/>
          <w:szCs w:val="20"/>
        </w:rPr>
        <w:t xml:space="preserve"> to </w:t>
      </w:r>
      <w:r w:rsidR="001E7356" w:rsidRPr="00DA1EBD">
        <w:rPr>
          <w:rFonts w:ascii="Cambria" w:hAnsi="Cambria"/>
          <w:sz w:val="20"/>
          <w:szCs w:val="20"/>
        </w:rPr>
        <w:t>wipe out any trace of</w:t>
      </w:r>
      <w:r w:rsidR="00522F2B" w:rsidRPr="00DA1EBD">
        <w:rPr>
          <w:rFonts w:ascii="Cambria" w:hAnsi="Cambria"/>
          <w:sz w:val="20"/>
          <w:szCs w:val="20"/>
        </w:rPr>
        <w:t xml:space="preserve"> </w:t>
      </w:r>
      <w:r w:rsidRPr="00DA1EBD">
        <w:rPr>
          <w:rFonts w:ascii="Cambria" w:hAnsi="Cambria"/>
          <w:sz w:val="20"/>
          <w:szCs w:val="20"/>
        </w:rPr>
        <w:t>the crimes committed and to silence its victims.</w:t>
      </w:r>
    </w:p>
    <w:p w14:paraId="6094A22E" w14:textId="57CD8986" w:rsidR="007D0305" w:rsidRPr="00DA1EBD" w:rsidRDefault="004761E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A1EBD">
        <w:rPr>
          <w:rFonts w:ascii="Cambria" w:hAnsi="Cambria"/>
          <w:sz w:val="20"/>
          <w:szCs w:val="20"/>
        </w:rPr>
        <w:t>The State stresses that it</w:t>
      </w:r>
      <w:r w:rsidR="009671DC" w:rsidRPr="00DA1EBD">
        <w:rPr>
          <w:rFonts w:ascii="Cambria" w:hAnsi="Cambria"/>
          <w:sz w:val="20"/>
          <w:szCs w:val="20"/>
        </w:rPr>
        <w:t xml:space="preserve"> has established a comprehensive strategy of transitional justice through the Justice and Peace Law,</w:t>
      </w:r>
      <w:r w:rsidRPr="00DA1EBD">
        <w:rPr>
          <w:rFonts w:ascii="Cambria" w:hAnsi="Cambria"/>
          <w:sz w:val="20"/>
          <w:szCs w:val="20"/>
        </w:rPr>
        <w:t xml:space="preserve"> designed to comply </w:t>
      </w:r>
      <w:r w:rsidR="003E3954" w:rsidRPr="00DA1EBD">
        <w:rPr>
          <w:rFonts w:ascii="Cambria" w:hAnsi="Cambria"/>
          <w:sz w:val="20"/>
          <w:szCs w:val="20"/>
        </w:rPr>
        <w:t>with due process</w:t>
      </w:r>
      <w:r w:rsidR="009671DC" w:rsidRPr="00DA1EBD">
        <w:rPr>
          <w:rFonts w:ascii="Cambria" w:hAnsi="Cambria"/>
          <w:sz w:val="20"/>
          <w:szCs w:val="20"/>
        </w:rPr>
        <w:t xml:space="preserve"> and focused on </w:t>
      </w:r>
      <w:r w:rsidRPr="00DA1EBD">
        <w:rPr>
          <w:rFonts w:ascii="Cambria" w:hAnsi="Cambria"/>
          <w:sz w:val="20"/>
          <w:szCs w:val="20"/>
        </w:rPr>
        <w:t>ending</w:t>
      </w:r>
      <w:r w:rsidR="009671DC" w:rsidRPr="00DA1EBD">
        <w:rPr>
          <w:rFonts w:ascii="Cambria" w:hAnsi="Cambria"/>
          <w:sz w:val="20"/>
          <w:szCs w:val="20"/>
        </w:rPr>
        <w:t xml:space="preserve"> the conflict </w:t>
      </w:r>
      <w:r w:rsidR="003E3954" w:rsidRPr="00DA1EBD">
        <w:rPr>
          <w:rFonts w:ascii="Cambria" w:hAnsi="Cambria"/>
          <w:sz w:val="20"/>
          <w:szCs w:val="20"/>
        </w:rPr>
        <w:t xml:space="preserve">in Colombia </w:t>
      </w:r>
      <w:r w:rsidR="009671DC" w:rsidRPr="00DA1EBD">
        <w:rPr>
          <w:rFonts w:ascii="Cambria" w:hAnsi="Cambria"/>
          <w:sz w:val="20"/>
          <w:szCs w:val="20"/>
        </w:rPr>
        <w:t xml:space="preserve">and </w:t>
      </w:r>
      <w:r w:rsidR="003E3954" w:rsidRPr="00DA1EBD">
        <w:rPr>
          <w:rFonts w:ascii="Cambria" w:hAnsi="Cambria"/>
          <w:sz w:val="20"/>
          <w:szCs w:val="20"/>
        </w:rPr>
        <w:t xml:space="preserve">on </w:t>
      </w:r>
      <w:r w:rsidRPr="00DA1EBD">
        <w:rPr>
          <w:rFonts w:ascii="Cambria" w:hAnsi="Cambria"/>
          <w:sz w:val="20"/>
          <w:szCs w:val="20"/>
        </w:rPr>
        <w:t>providing reparation for</w:t>
      </w:r>
      <w:r w:rsidR="009671DC" w:rsidRPr="00DA1EBD">
        <w:rPr>
          <w:rFonts w:ascii="Cambria" w:hAnsi="Cambria"/>
          <w:sz w:val="20"/>
          <w:szCs w:val="20"/>
        </w:rPr>
        <w:t xml:space="preserve"> the consequences of massive human rights </w:t>
      </w:r>
      <w:r w:rsidRPr="00DA1EBD">
        <w:rPr>
          <w:rFonts w:ascii="Cambria" w:hAnsi="Cambria"/>
          <w:sz w:val="20"/>
          <w:szCs w:val="20"/>
        </w:rPr>
        <w:t>violations</w:t>
      </w:r>
      <w:r w:rsidR="009671DC" w:rsidRPr="00DA1EBD">
        <w:rPr>
          <w:rFonts w:ascii="Cambria" w:hAnsi="Cambria"/>
          <w:sz w:val="20"/>
          <w:szCs w:val="20"/>
        </w:rPr>
        <w:t xml:space="preserve">. </w:t>
      </w:r>
      <w:r w:rsidR="00DA740B" w:rsidRPr="00DA1EBD">
        <w:rPr>
          <w:rFonts w:ascii="Cambria" w:hAnsi="Cambria"/>
          <w:sz w:val="20"/>
          <w:szCs w:val="20"/>
        </w:rPr>
        <w:t>It emphasizes that the aforementioned law</w:t>
      </w:r>
      <w:r w:rsidR="009671DC" w:rsidRPr="00DA1EBD">
        <w:rPr>
          <w:rFonts w:ascii="Cambria" w:hAnsi="Cambria"/>
          <w:sz w:val="20"/>
          <w:szCs w:val="20"/>
        </w:rPr>
        <w:t xml:space="preserve"> allowed </w:t>
      </w:r>
      <w:r w:rsidR="00DA740B" w:rsidRPr="00DA1EBD">
        <w:rPr>
          <w:rFonts w:ascii="Cambria" w:hAnsi="Cambria"/>
          <w:sz w:val="20"/>
          <w:szCs w:val="20"/>
        </w:rPr>
        <w:t xml:space="preserve">for </w:t>
      </w:r>
      <w:r w:rsidR="009671DC" w:rsidRPr="00DA1EBD">
        <w:rPr>
          <w:rFonts w:ascii="Cambria" w:hAnsi="Cambria"/>
          <w:sz w:val="20"/>
          <w:szCs w:val="20"/>
        </w:rPr>
        <w:t>the de</w:t>
      </w:r>
      <w:r w:rsidR="003E3954" w:rsidRPr="00DA1EBD">
        <w:rPr>
          <w:rFonts w:ascii="Cambria" w:hAnsi="Cambria"/>
          <w:sz w:val="20"/>
          <w:szCs w:val="20"/>
        </w:rPr>
        <w:t>mobilization of about 32,000 members</w:t>
      </w:r>
      <w:r w:rsidR="009671DC" w:rsidRPr="00DA1EBD">
        <w:rPr>
          <w:rFonts w:ascii="Cambria" w:hAnsi="Cambria"/>
          <w:sz w:val="20"/>
          <w:szCs w:val="20"/>
        </w:rPr>
        <w:t xml:space="preserve"> belonging to the AUC, the investigation of 4,700 members of these illegal groups, about 100,000 victims reported criminal acts and almost 400,000 have participated in the investigation process conducted by the </w:t>
      </w:r>
      <w:r w:rsidR="00DA740B" w:rsidRPr="00DA1EBD">
        <w:rPr>
          <w:rFonts w:ascii="Cambria" w:hAnsi="Cambria"/>
          <w:sz w:val="20"/>
          <w:szCs w:val="20"/>
        </w:rPr>
        <w:t>National General Prosecutor’s Office.</w:t>
      </w:r>
      <w:r w:rsidR="009671DC" w:rsidRPr="00DA1EBD">
        <w:rPr>
          <w:rFonts w:ascii="Cambria" w:hAnsi="Cambria"/>
          <w:sz w:val="20"/>
          <w:szCs w:val="20"/>
        </w:rPr>
        <w:t xml:space="preserve"> </w:t>
      </w:r>
      <w:r w:rsidR="00DA740B" w:rsidRPr="00DA1EBD">
        <w:rPr>
          <w:rFonts w:ascii="Cambria" w:hAnsi="Cambria"/>
          <w:sz w:val="20"/>
          <w:szCs w:val="20"/>
        </w:rPr>
        <w:t>With respect to the</w:t>
      </w:r>
      <w:r w:rsidR="009671DC" w:rsidRPr="00DA1EBD">
        <w:rPr>
          <w:rFonts w:ascii="Cambria" w:hAnsi="Cambria"/>
          <w:sz w:val="20"/>
          <w:szCs w:val="20"/>
        </w:rPr>
        <w:t xml:space="preserve"> massacre that occurred in Bocas de Aracataca, </w:t>
      </w:r>
      <w:r w:rsidR="00DA740B" w:rsidRPr="00DA1EBD">
        <w:rPr>
          <w:rFonts w:ascii="Cambria" w:hAnsi="Cambria"/>
          <w:sz w:val="20"/>
          <w:szCs w:val="20"/>
        </w:rPr>
        <w:t>it reports</w:t>
      </w:r>
      <w:r w:rsidR="009671DC" w:rsidRPr="00DA1EBD">
        <w:rPr>
          <w:rFonts w:ascii="Cambria" w:hAnsi="Cambria"/>
          <w:sz w:val="20"/>
          <w:szCs w:val="20"/>
        </w:rPr>
        <w:t xml:space="preserve"> that despite the complexity of the case, </w:t>
      </w:r>
      <w:r w:rsidR="003E3954" w:rsidRPr="00DA1EBD">
        <w:rPr>
          <w:rFonts w:ascii="Cambria" w:hAnsi="Cambria"/>
          <w:sz w:val="20"/>
          <w:szCs w:val="20"/>
        </w:rPr>
        <w:t>the justice system</w:t>
      </w:r>
      <w:r w:rsidR="009671DC" w:rsidRPr="00DA1EBD">
        <w:rPr>
          <w:rFonts w:ascii="Cambria" w:hAnsi="Cambria"/>
          <w:sz w:val="20"/>
          <w:szCs w:val="20"/>
        </w:rPr>
        <w:t xml:space="preserve"> has </w:t>
      </w:r>
      <w:r w:rsidR="003E3954" w:rsidRPr="00DA1EBD">
        <w:rPr>
          <w:rFonts w:ascii="Cambria" w:hAnsi="Cambria"/>
          <w:sz w:val="20"/>
          <w:szCs w:val="20"/>
        </w:rPr>
        <w:t>achieved</w:t>
      </w:r>
      <w:r w:rsidR="009671DC" w:rsidRPr="00DA1EBD">
        <w:rPr>
          <w:rFonts w:ascii="Cambria" w:hAnsi="Cambria"/>
          <w:sz w:val="20"/>
          <w:szCs w:val="20"/>
        </w:rPr>
        <w:t xml:space="preserve"> results. </w:t>
      </w:r>
      <w:r w:rsidR="003E3954" w:rsidRPr="00DA1EBD">
        <w:rPr>
          <w:rFonts w:ascii="Cambria" w:hAnsi="Cambria"/>
          <w:sz w:val="20"/>
          <w:szCs w:val="20"/>
        </w:rPr>
        <w:t>Among these</w:t>
      </w:r>
      <w:r w:rsidR="00B147A2" w:rsidRPr="00DA1EBD">
        <w:rPr>
          <w:rFonts w:ascii="Cambria" w:hAnsi="Cambria"/>
          <w:sz w:val="20"/>
          <w:szCs w:val="20"/>
        </w:rPr>
        <w:t xml:space="preserve">, </w:t>
      </w:r>
      <w:r w:rsidR="003E3954" w:rsidRPr="00DA1EBD">
        <w:rPr>
          <w:rFonts w:ascii="Cambria" w:hAnsi="Cambria"/>
          <w:sz w:val="20"/>
          <w:szCs w:val="20"/>
        </w:rPr>
        <w:t xml:space="preserve">the investigation of 15 individuals in the </w:t>
      </w:r>
      <w:r w:rsidR="009671DC" w:rsidRPr="00DA1EBD">
        <w:rPr>
          <w:rFonts w:ascii="Cambria" w:hAnsi="Cambria"/>
          <w:sz w:val="20"/>
          <w:szCs w:val="20"/>
        </w:rPr>
        <w:t>ordinary criminal</w:t>
      </w:r>
      <w:r w:rsidR="003E3954" w:rsidRPr="00DA1EBD">
        <w:rPr>
          <w:rFonts w:ascii="Cambria" w:hAnsi="Cambria"/>
          <w:sz w:val="20"/>
          <w:szCs w:val="20"/>
        </w:rPr>
        <w:t xml:space="preserve"> jurisdiction</w:t>
      </w:r>
      <w:r w:rsidR="009671DC" w:rsidRPr="00DA1EBD">
        <w:rPr>
          <w:rFonts w:ascii="Cambria" w:hAnsi="Cambria"/>
          <w:sz w:val="20"/>
          <w:szCs w:val="20"/>
        </w:rPr>
        <w:t xml:space="preserve">, 13 </w:t>
      </w:r>
      <w:r w:rsidR="00B147A2" w:rsidRPr="00DA1EBD">
        <w:rPr>
          <w:rFonts w:ascii="Cambria" w:hAnsi="Cambria"/>
          <w:sz w:val="20"/>
          <w:szCs w:val="20"/>
        </w:rPr>
        <w:t xml:space="preserve">of whom </w:t>
      </w:r>
      <w:r w:rsidR="009671DC" w:rsidRPr="00DA1EBD">
        <w:rPr>
          <w:rFonts w:ascii="Cambria" w:hAnsi="Cambria"/>
          <w:sz w:val="20"/>
          <w:szCs w:val="20"/>
        </w:rPr>
        <w:t xml:space="preserve">were </w:t>
      </w:r>
      <w:r w:rsidR="00B147A2" w:rsidRPr="00DA1EBD">
        <w:rPr>
          <w:rFonts w:ascii="Cambria" w:hAnsi="Cambria"/>
          <w:sz w:val="20"/>
          <w:szCs w:val="20"/>
        </w:rPr>
        <w:t xml:space="preserve">brought to trial, </w:t>
      </w:r>
      <w:r w:rsidR="009671DC" w:rsidRPr="00DA1EBD">
        <w:rPr>
          <w:rFonts w:ascii="Cambria" w:hAnsi="Cambria"/>
          <w:sz w:val="20"/>
          <w:szCs w:val="20"/>
        </w:rPr>
        <w:t xml:space="preserve">and </w:t>
      </w:r>
      <w:r w:rsidR="00B147A2" w:rsidRPr="00DA1EBD">
        <w:rPr>
          <w:rFonts w:ascii="Cambria" w:hAnsi="Cambria"/>
          <w:sz w:val="20"/>
          <w:szCs w:val="20"/>
        </w:rPr>
        <w:t xml:space="preserve">2 others were not </w:t>
      </w:r>
      <w:r w:rsidR="009671DC" w:rsidRPr="00DA1EBD">
        <w:rPr>
          <w:rFonts w:ascii="Cambria" w:hAnsi="Cambria"/>
          <w:sz w:val="20"/>
          <w:szCs w:val="20"/>
        </w:rPr>
        <w:t xml:space="preserve">because they were minors at the time of the events. Likewise, on August 23, 2013, preventive detention was issued </w:t>
      </w:r>
      <w:r w:rsidR="00B147A2" w:rsidRPr="00DA1EBD">
        <w:rPr>
          <w:rFonts w:ascii="Cambria" w:hAnsi="Cambria"/>
          <w:sz w:val="20"/>
          <w:szCs w:val="20"/>
        </w:rPr>
        <w:t>against</w:t>
      </w:r>
      <w:r w:rsidR="009671DC" w:rsidRPr="00DA1EBD">
        <w:rPr>
          <w:rFonts w:ascii="Cambria" w:hAnsi="Cambria"/>
          <w:sz w:val="20"/>
          <w:szCs w:val="20"/>
        </w:rPr>
        <w:t xml:space="preserve"> 12 possible direct co-authors in the </w:t>
      </w:r>
      <w:r w:rsidR="00B147A2" w:rsidRPr="00DA1EBD">
        <w:rPr>
          <w:rFonts w:ascii="Cambria" w:hAnsi="Cambria"/>
          <w:sz w:val="20"/>
          <w:szCs w:val="20"/>
        </w:rPr>
        <w:t>context</w:t>
      </w:r>
      <w:r w:rsidR="009671DC" w:rsidRPr="00DA1EBD">
        <w:rPr>
          <w:rFonts w:ascii="Cambria" w:hAnsi="Cambria"/>
          <w:sz w:val="20"/>
          <w:szCs w:val="20"/>
        </w:rPr>
        <w:t xml:space="preserve"> of the investigation conducted under the Justice and Peace Law. Final</w:t>
      </w:r>
      <w:r w:rsidR="003E3954" w:rsidRPr="00DA1EBD">
        <w:rPr>
          <w:rFonts w:ascii="Cambria" w:hAnsi="Cambria"/>
          <w:sz w:val="20"/>
          <w:szCs w:val="20"/>
        </w:rPr>
        <w:t xml:space="preserve">ly, the State notes that two individuals </w:t>
      </w:r>
      <w:r w:rsidR="009671DC" w:rsidRPr="00DA1EBD">
        <w:rPr>
          <w:rFonts w:ascii="Cambria" w:hAnsi="Cambria"/>
          <w:sz w:val="20"/>
          <w:szCs w:val="20"/>
        </w:rPr>
        <w:t xml:space="preserve">have been identified as possible </w:t>
      </w:r>
      <w:r w:rsidR="00B147A2" w:rsidRPr="00DA1EBD">
        <w:rPr>
          <w:rFonts w:ascii="Cambria" w:hAnsi="Cambria"/>
          <w:sz w:val="20"/>
          <w:szCs w:val="20"/>
        </w:rPr>
        <w:t>co</w:t>
      </w:r>
      <w:r w:rsidR="003E3954" w:rsidRPr="00DA1EBD">
        <w:rPr>
          <w:rFonts w:ascii="Cambria" w:hAnsi="Cambria"/>
          <w:sz w:val="20"/>
          <w:szCs w:val="20"/>
        </w:rPr>
        <w:t>-</w:t>
      </w:r>
      <w:r w:rsidR="00B147A2" w:rsidRPr="00DA1EBD">
        <w:rPr>
          <w:rFonts w:ascii="Cambria" w:hAnsi="Cambria"/>
          <w:sz w:val="20"/>
          <w:szCs w:val="20"/>
        </w:rPr>
        <w:t>authors</w:t>
      </w:r>
      <w:r w:rsidR="009671DC" w:rsidRPr="00DA1EBD">
        <w:rPr>
          <w:rFonts w:ascii="Cambria" w:hAnsi="Cambria"/>
          <w:sz w:val="20"/>
          <w:szCs w:val="20"/>
        </w:rPr>
        <w:t xml:space="preserve"> </w:t>
      </w:r>
      <w:r w:rsidR="003E3954" w:rsidRPr="00DA1EBD">
        <w:rPr>
          <w:rFonts w:ascii="Cambria" w:hAnsi="Cambria"/>
          <w:sz w:val="20"/>
          <w:szCs w:val="20"/>
        </w:rPr>
        <w:t xml:space="preserve">after the fact </w:t>
      </w:r>
      <w:r w:rsidR="009671DC" w:rsidRPr="00DA1EBD">
        <w:rPr>
          <w:rFonts w:ascii="Cambria" w:hAnsi="Cambria"/>
          <w:sz w:val="20"/>
          <w:szCs w:val="20"/>
        </w:rPr>
        <w:t>of this massacre, who are being held in prisons in the United States of America.</w:t>
      </w:r>
    </w:p>
    <w:p w14:paraId="4DA6ECB4" w14:textId="70AA7D6D" w:rsidR="007D0305" w:rsidRPr="00DA1EBD" w:rsidRDefault="009671D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A1EBD">
        <w:rPr>
          <w:rFonts w:ascii="Cambria" w:hAnsi="Cambria"/>
          <w:sz w:val="20"/>
          <w:szCs w:val="20"/>
        </w:rPr>
        <w:t xml:space="preserve">It </w:t>
      </w:r>
      <w:r w:rsidR="009D4457" w:rsidRPr="00DA1EBD">
        <w:rPr>
          <w:rFonts w:ascii="Cambria" w:hAnsi="Cambria"/>
          <w:sz w:val="20"/>
          <w:szCs w:val="20"/>
        </w:rPr>
        <w:t>also argues</w:t>
      </w:r>
      <w:r w:rsidRPr="00DA1EBD">
        <w:rPr>
          <w:rFonts w:ascii="Cambria" w:hAnsi="Cambria"/>
          <w:sz w:val="20"/>
          <w:szCs w:val="20"/>
        </w:rPr>
        <w:t xml:space="preserve"> </w:t>
      </w:r>
      <w:r w:rsidR="009D4457" w:rsidRPr="00DA1EBD">
        <w:rPr>
          <w:rFonts w:ascii="Cambria" w:hAnsi="Cambria"/>
          <w:sz w:val="20"/>
          <w:szCs w:val="20"/>
        </w:rPr>
        <w:t xml:space="preserve">a failure to exhaust </w:t>
      </w:r>
      <w:r w:rsidR="003D4F05" w:rsidRPr="00DA1EBD">
        <w:rPr>
          <w:rFonts w:ascii="Cambria" w:hAnsi="Cambria"/>
          <w:sz w:val="20"/>
          <w:szCs w:val="20"/>
        </w:rPr>
        <w:t>remedies</w:t>
      </w:r>
      <w:r w:rsidRPr="00DA1EBD">
        <w:rPr>
          <w:rFonts w:ascii="Cambria" w:hAnsi="Cambria"/>
          <w:sz w:val="20"/>
          <w:szCs w:val="20"/>
        </w:rPr>
        <w:t xml:space="preserve"> </w:t>
      </w:r>
      <w:r w:rsidR="003D4F05" w:rsidRPr="00DA1EBD">
        <w:rPr>
          <w:rFonts w:ascii="Cambria" w:hAnsi="Cambria"/>
          <w:sz w:val="20"/>
          <w:szCs w:val="20"/>
        </w:rPr>
        <w:t xml:space="preserve">to obtain reparations from </w:t>
      </w:r>
      <w:r w:rsidRPr="00DA1EBD">
        <w:rPr>
          <w:rFonts w:ascii="Cambria" w:hAnsi="Cambria"/>
          <w:sz w:val="20"/>
          <w:szCs w:val="20"/>
        </w:rPr>
        <w:t xml:space="preserve">State for its alleged administrative responsibility, since the petitioner did not resort to the Contentious Administrative Jurisdiction. It states that the action of direct reparation constitutes an adequate and effective remedy to </w:t>
      </w:r>
      <w:r w:rsidR="0040191B" w:rsidRPr="00DA1EBD">
        <w:rPr>
          <w:rFonts w:ascii="Cambria" w:hAnsi="Cambria"/>
          <w:sz w:val="20"/>
          <w:szCs w:val="20"/>
        </w:rPr>
        <w:t>claim monetary damages</w:t>
      </w:r>
      <w:r w:rsidRPr="00DA1EBD">
        <w:rPr>
          <w:rFonts w:ascii="Cambria" w:hAnsi="Cambria"/>
          <w:sz w:val="20"/>
          <w:szCs w:val="20"/>
        </w:rPr>
        <w:t xml:space="preserve"> against the State, especially because the </w:t>
      </w:r>
      <w:r w:rsidR="003D4F05" w:rsidRPr="00DA1EBD">
        <w:rPr>
          <w:rFonts w:ascii="Cambria" w:hAnsi="Cambria"/>
          <w:sz w:val="20"/>
          <w:szCs w:val="20"/>
        </w:rPr>
        <w:t>Counsel of State</w:t>
      </w:r>
      <w:r w:rsidRPr="00DA1EBD">
        <w:rPr>
          <w:rFonts w:ascii="Cambria" w:hAnsi="Cambria"/>
          <w:sz w:val="20"/>
          <w:szCs w:val="20"/>
        </w:rPr>
        <w:t xml:space="preserve"> has expanded its parameters to adopt guidelines </w:t>
      </w:r>
      <w:r w:rsidR="0040191B" w:rsidRPr="00DA1EBD">
        <w:rPr>
          <w:rFonts w:ascii="Cambria" w:hAnsi="Cambria"/>
          <w:sz w:val="20"/>
          <w:szCs w:val="20"/>
        </w:rPr>
        <w:t xml:space="preserve">on reparations </w:t>
      </w:r>
      <w:r w:rsidR="00062DEC" w:rsidRPr="00DA1EBD">
        <w:rPr>
          <w:rFonts w:ascii="Cambria" w:hAnsi="Cambria"/>
          <w:sz w:val="20"/>
          <w:szCs w:val="20"/>
        </w:rPr>
        <w:t xml:space="preserve">as </w:t>
      </w:r>
      <w:r w:rsidRPr="00DA1EBD">
        <w:rPr>
          <w:rFonts w:ascii="Cambria" w:hAnsi="Cambria"/>
          <w:sz w:val="20"/>
          <w:szCs w:val="20"/>
        </w:rPr>
        <w:t xml:space="preserve">established in the Inter-American Human Rights System. Therefore, it concludes that </w:t>
      </w:r>
      <w:r w:rsidR="0040191B" w:rsidRPr="00DA1EBD">
        <w:rPr>
          <w:rFonts w:ascii="Cambria" w:hAnsi="Cambria"/>
          <w:sz w:val="20"/>
          <w:szCs w:val="20"/>
        </w:rPr>
        <w:t xml:space="preserve">there has been a failure to exhaust the </w:t>
      </w:r>
      <w:r w:rsidRPr="00DA1EBD">
        <w:rPr>
          <w:rFonts w:ascii="Cambria" w:hAnsi="Cambria"/>
          <w:sz w:val="20"/>
          <w:szCs w:val="20"/>
        </w:rPr>
        <w:t xml:space="preserve">adequate and effective remedies to obtain an integral reparation, as well as </w:t>
      </w:r>
      <w:r w:rsidR="0040191B" w:rsidRPr="00DA1EBD">
        <w:rPr>
          <w:rFonts w:ascii="Cambria" w:hAnsi="Cambria"/>
          <w:sz w:val="20"/>
          <w:szCs w:val="20"/>
        </w:rPr>
        <w:t>a failure to provide grounds</w:t>
      </w:r>
      <w:r w:rsidRPr="00DA1EBD">
        <w:rPr>
          <w:rFonts w:ascii="Cambria" w:hAnsi="Cambria"/>
          <w:sz w:val="20"/>
          <w:szCs w:val="20"/>
        </w:rPr>
        <w:t xml:space="preserve"> for not doing so.</w:t>
      </w:r>
    </w:p>
    <w:p w14:paraId="2CFEFB84" w14:textId="1DF509BD" w:rsidR="007D0305" w:rsidRPr="00DA1EBD" w:rsidRDefault="009671D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A1EBD">
        <w:rPr>
          <w:rFonts w:ascii="Cambria" w:hAnsi="Cambria"/>
          <w:sz w:val="20"/>
          <w:szCs w:val="20"/>
        </w:rPr>
        <w:t xml:space="preserve">Lastly, the State emphasizes that the petitioner </w:t>
      </w:r>
      <w:r w:rsidR="00D23FB5" w:rsidRPr="00DA1EBD">
        <w:rPr>
          <w:rFonts w:ascii="Cambria" w:hAnsi="Cambria"/>
          <w:sz w:val="20"/>
          <w:szCs w:val="20"/>
        </w:rPr>
        <w:t>has failed to comply with A</w:t>
      </w:r>
      <w:r w:rsidRPr="00DA1EBD">
        <w:rPr>
          <w:rFonts w:ascii="Cambria" w:hAnsi="Cambria"/>
          <w:sz w:val="20"/>
          <w:szCs w:val="20"/>
        </w:rPr>
        <w:t xml:space="preserve">rticle 47.b </w:t>
      </w:r>
      <w:r w:rsidR="00ED2BB7" w:rsidRPr="00DA1EBD">
        <w:rPr>
          <w:rFonts w:ascii="Cambria" w:hAnsi="Cambria"/>
          <w:sz w:val="20"/>
          <w:szCs w:val="20"/>
        </w:rPr>
        <w:t>indicating that the</w:t>
      </w:r>
      <w:r w:rsidRPr="00DA1EBD">
        <w:rPr>
          <w:rFonts w:ascii="Cambria" w:hAnsi="Cambria"/>
          <w:sz w:val="20"/>
          <w:szCs w:val="20"/>
        </w:rPr>
        <w:t xml:space="preserve"> petition </w:t>
      </w:r>
      <w:r w:rsidR="00ED2BB7" w:rsidRPr="00DA1EBD">
        <w:rPr>
          <w:rFonts w:ascii="Cambria" w:hAnsi="Cambria"/>
          <w:sz w:val="20"/>
          <w:szCs w:val="20"/>
        </w:rPr>
        <w:t>must</w:t>
      </w:r>
      <w:r w:rsidRPr="00DA1EBD">
        <w:rPr>
          <w:rFonts w:ascii="Cambria" w:hAnsi="Cambria"/>
          <w:sz w:val="20"/>
          <w:szCs w:val="20"/>
        </w:rPr>
        <w:t xml:space="preserve"> state facts that </w:t>
      </w:r>
      <w:r w:rsidR="001606CD" w:rsidRPr="00DA1EBD">
        <w:rPr>
          <w:rFonts w:ascii="Cambria" w:hAnsi="Cambria"/>
          <w:sz w:val="20"/>
          <w:szCs w:val="20"/>
        </w:rPr>
        <w:t xml:space="preserve">tend to establish </w:t>
      </w:r>
      <w:r w:rsidRPr="00DA1EBD">
        <w:rPr>
          <w:rFonts w:ascii="Cambria" w:hAnsi="Cambria"/>
          <w:sz w:val="20"/>
          <w:szCs w:val="20"/>
        </w:rPr>
        <w:t xml:space="preserve">a violation of the rights guaranteed by the Convention. In this way, </w:t>
      </w:r>
      <w:r w:rsidR="00911249" w:rsidRPr="00DA1EBD">
        <w:rPr>
          <w:rFonts w:ascii="Cambria" w:hAnsi="Cambria"/>
          <w:sz w:val="20"/>
          <w:szCs w:val="20"/>
        </w:rPr>
        <w:t>the State maintains</w:t>
      </w:r>
      <w:r w:rsidRPr="00DA1EBD">
        <w:rPr>
          <w:rFonts w:ascii="Cambria" w:hAnsi="Cambria"/>
          <w:sz w:val="20"/>
          <w:szCs w:val="20"/>
        </w:rPr>
        <w:t xml:space="preserve"> that the events described are a </w:t>
      </w:r>
      <w:r w:rsidR="001606CD" w:rsidRPr="00DA1EBD">
        <w:rPr>
          <w:rFonts w:ascii="Cambria" w:hAnsi="Cambria"/>
          <w:sz w:val="20"/>
          <w:szCs w:val="20"/>
        </w:rPr>
        <w:t>result</w:t>
      </w:r>
      <w:r w:rsidRPr="00DA1EBD">
        <w:rPr>
          <w:rFonts w:ascii="Cambria" w:hAnsi="Cambria"/>
          <w:sz w:val="20"/>
          <w:szCs w:val="20"/>
        </w:rPr>
        <w:t xml:space="preserve"> of the criminal acts of illegal self-defense groups </w:t>
      </w:r>
      <w:r w:rsidR="00911249" w:rsidRPr="00DA1EBD">
        <w:rPr>
          <w:rFonts w:ascii="Cambria" w:hAnsi="Cambria"/>
          <w:sz w:val="20"/>
          <w:szCs w:val="20"/>
        </w:rPr>
        <w:t>unconnected with</w:t>
      </w:r>
      <w:r w:rsidRPr="00DA1EBD">
        <w:rPr>
          <w:rFonts w:ascii="Cambria" w:hAnsi="Cambria"/>
          <w:sz w:val="20"/>
          <w:szCs w:val="20"/>
        </w:rPr>
        <w:t xml:space="preserve"> the </w:t>
      </w:r>
      <w:r w:rsidR="001606CD" w:rsidRPr="00DA1EBD">
        <w:rPr>
          <w:rFonts w:ascii="Cambria" w:hAnsi="Cambria"/>
          <w:sz w:val="20"/>
          <w:szCs w:val="20"/>
        </w:rPr>
        <w:t>Security Forces</w:t>
      </w:r>
      <w:r w:rsidR="0042563C" w:rsidRPr="00DA1EBD">
        <w:rPr>
          <w:rFonts w:ascii="Cambria" w:hAnsi="Cambria"/>
          <w:sz w:val="20"/>
          <w:szCs w:val="20"/>
        </w:rPr>
        <w:t xml:space="preserve">, </w:t>
      </w:r>
      <w:r w:rsidR="00ED2BB7" w:rsidRPr="00DA1EBD">
        <w:rPr>
          <w:rFonts w:ascii="Cambria" w:hAnsi="Cambria"/>
          <w:sz w:val="20"/>
          <w:szCs w:val="20"/>
        </w:rPr>
        <w:t>and that therefore they</w:t>
      </w:r>
      <w:r w:rsidR="0042563C" w:rsidRPr="00DA1EBD">
        <w:rPr>
          <w:rFonts w:ascii="Cambria" w:hAnsi="Cambria"/>
          <w:sz w:val="20"/>
          <w:szCs w:val="20"/>
        </w:rPr>
        <w:t xml:space="preserve"> can</w:t>
      </w:r>
      <w:r w:rsidR="00ED2BB7" w:rsidRPr="00DA1EBD">
        <w:rPr>
          <w:rFonts w:ascii="Cambria" w:hAnsi="Cambria"/>
          <w:sz w:val="20"/>
          <w:szCs w:val="20"/>
        </w:rPr>
        <w:t>not be attributable</w:t>
      </w:r>
      <w:r w:rsidRPr="00DA1EBD">
        <w:rPr>
          <w:rFonts w:ascii="Cambria" w:hAnsi="Cambria"/>
          <w:sz w:val="20"/>
          <w:szCs w:val="20"/>
        </w:rPr>
        <w:t xml:space="preserve"> to the State. It </w:t>
      </w:r>
      <w:r w:rsidR="00F62EB5" w:rsidRPr="00DA1EBD">
        <w:rPr>
          <w:rFonts w:ascii="Cambria" w:hAnsi="Cambria"/>
          <w:sz w:val="20"/>
          <w:szCs w:val="20"/>
        </w:rPr>
        <w:t xml:space="preserve">also </w:t>
      </w:r>
      <w:r w:rsidRPr="00DA1EBD">
        <w:rPr>
          <w:rFonts w:ascii="Cambria" w:hAnsi="Cambria"/>
          <w:sz w:val="20"/>
          <w:szCs w:val="20"/>
        </w:rPr>
        <w:t>emphasizes that the State is not</w:t>
      </w:r>
      <w:r w:rsidR="00F62EB5" w:rsidRPr="00DA1EBD">
        <w:rPr>
          <w:rFonts w:ascii="Cambria" w:hAnsi="Cambria"/>
          <w:sz w:val="20"/>
          <w:szCs w:val="20"/>
        </w:rPr>
        <w:t xml:space="preserve"> responsible for omissions</w:t>
      </w:r>
      <w:r w:rsidRPr="00DA1EBD">
        <w:rPr>
          <w:rFonts w:ascii="Cambria" w:hAnsi="Cambria"/>
          <w:sz w:val="20"/>
          <w:szCs w:val="20"/>
        </w:rPr>
        <w:t xml:space="preserve">, since the petitioner has </w:t>
      </w:r>
      <w:r w:rsidR="00F62EB5" w:rsidRPr="00DA1EBD">
        <w:rPr>
          <w:rFonts w:ascii="Cambria" w:hAnsi="Cambria"/>
          <w:sz w:val="20"/>
          <w:szCs w:val="20"/>
        </w:rPr>
        <w:t>failed to demonstrate</w:t>
      </w:r>
      <w:r w:rsidRPr="00DA1EBD">
        <w:rPr>
          <w:rFonts w:ascii="Cambria" w:hAnsi="Cambria"/>
          <w:sz w:val="20"/>
          <w:szCs w:val="20"/>
        </w:rPr>
        <w:t xml:space="preserve"> tolerance, complicity or acquiescence of State agents with individuals </w:t>
      </w:r>
      <w:r w:rsidR="00F62EB5" w:rsidRPr="00DA1EBD">
        <w:rPr>
          <w:rFonts w:ascii="Cambria" w:hAnsi="Cambria"/>
          <w:sz w:val="20"/>
          <w:szCs w:val="20"/>
        </w:rPr>
        <w:t>violating</w:t>
      </w:r>
      <w:r w:rsidR="00ED2BB7" w:rsidRPr="00DA1EBD">
        <w:rPr>
          <w:rFonts w:ascii="Cambria" w:hAnsi="Cambria"/>
          <w:sz w:val="20"/>
          <w:szCs w:val="20"/>
        </w:rPr>
        <w:t xml:space="preserve"> </w:t>
      </w:r>
      <w:r w:rsidR="00ED2BB7" w:rsidRPr="00DA1EBD">
        <w:rPr>
          <w:rFonts w:ascii="Cambria" w:hAnsi="Cambria"/>
          <w:sz w:val="20"/>
          <w:szCs w:val="20"/>
        </w:rPr>
        <w:lastRenderedPageBreak/>
        <w:t>human rights;</w:t>
      </w:r>
      <w:r w:rsidRPr="00DA1EBD">
        <w:rPr>
          <w:rFonts w:ascii="Cambria" w:hAnsi="Cambria"/>
          <w:sz w:val="20"/>
          <w:szCs w:val="20"/>
        </w:rPr>
        <w:t xml:space="preserve"> nor </w:t>
      </w:r>
      <w:r w:rsidR="00F62EB5" w:rsidRPr="00DA1EBD">
        <w:rPr>
          <w:rFonts w:ascii="Cambria" w:hAnsi="Cambria"/>
          <w:sz w:val="20"/>
          <w:szCs w:val="20"/>
        </w:rPr>
        <w:t xml:space="preserve">has </w:t>
      </w:r>
      <w:r w:rsidR="00911249" w:rsidRPr="00DA1EBD">
        <w:rPr>
          <w:rFonts w:ascii="Cambria" w:hAnsi="Cambria"/>
          <w:sz w:val="20"/>
          <w:szCs w:val="20"/>
        </w:rPr>
        <w:t>the petitioner</w:t>
      </w:r>
      <w:r w:rsidRPr="00DA1EBD">
        <w:rPr>
          <w:rFonts w:ascii="Cambria" w:hAnsi="Cambria"/>
          <w:sz w:val="20"/>
          <w:szCs w:val="20"/>
        </w:rPr>
        <w:t xml:space="preserve"> proven lack of diligence to prevent </w:t>
      </w:r>
      <w:r w:rsidR="00ED2BB7" w:rsidRPr="00DA1EBD">
        <w:rPr>
          <w:rFonts w:ascii="Cambria" w:hAnsi="Cambria"/>
          <w:sz w:val="20"/>
          <w:szCs w:val="20"/>
        </w:rPr>
        <w:t>conduct incompatible with th</w:t>
      </w:r>
      <w:r w:rsidRPr="00DA1EBD">
        <w:rPr>
          <w:rFonts w:ascii="Cambria" w:hAnsi="Cambria"/>
          <w:sz w:val="20"/>
          <w:szCs w:val="20"/>
        </w:rPr>
        <w:t xml:space="preserve">e guarantees </w:t>
      </w:r>
      <w:r w:rsidR="00ED2BB7" w:rsidRPr="00DA1EBD">
        <w:rPr>
          <w:rFonts w:ascii="Cambria" w:hAnsi="Cambria"/>
          <w:sz w:val="20"/>
          <w:szCs w:val="20"/>
        </w:rPr>
        <w:t xml:space="preserve">established </w:t>
      </w:r>
      <w:r w:rsidRPr="00DA1EBD">
        <w:rPr>
          <w:rFonts w:ascii="Cambria" w:hAnsi="Cambria"/>
          <w:sz w:val="20"/>
          <w:szCs w:val="20"/>
        </w:rPr>
        <w:t>in the Convention.</w:t>
      </w:r>
    </w:p>
    <w:p w14:paraId="55505107" w14:textId="28153572" w:rsidR="00F621C3" w:rsidRPr="00DA1EBD" w:rsidRDefault="00F621C3" w:rsidP="00F621C3">
      <w:pPr>
        <w:spacing w:before="240" w:after="240"/>
        <w:ind w:firstLine="720"/>
        <w:jc w:val="both"/>
        <w:rPr>
          <w:rFonts w:ascii="Cambria" w:hAnsi="Cambria"/>
          <w:sz w:val="20"/>
          <w:szCs w:val="20"/>
        </w:rPr>
      </w:pPr>
      <w:r w:rsidRPr="00DA1EBD">
        <w:rPr>
          <w:rFonts w:asciiTheme="majorHAnsi" w:eastAsia="Cambria" w:hAnsiTheme="majorHAnsi" w:cs="Cambria"/>
          <w:b/>
          <w:bCs/>
          <w:color w:val="000000"/>
          <w:sz w:val="20"/>
          <w:szCs w:val="20"/>
          <w:u w:color="000000"/>
          <w:lang w:eastAsia="es-ES"/>
        </w:rPr>
        <w:t>VI.</w:t>
      </w:r>
      <w:r w:rsidRPr="00DA1EBD">
        <w:rPr>
          <w:rFonts w:asciiTheme="majorHAnsi" w:eastAsia="Cambria" w:hAnsiTheme="majorHAnsi" w:cs="Cambria"/>
          <w:b/>
          <w:bCs/>
          <w:color w:val="000000"/>
          <w:sz w:val="20"/>
          <w:szCs w:val="20"/>
          <w:u w:color="000000"/>
          <w:lang w:eastAsia="es-ES"/>
        </w:rPr>
        <w:tab/>
      </w:r>
      <w:r w:rsidR="001F1902" w:rsidRPr="00DA1EBD">
        <w:rPr>
          <w:rFonts w:asciiTheme="majorHAnsi" w:hAnsiTheme="majorHAnsi"/>
          <w:b/>
          <w:bCs/>
          <w:sz w:val="20"/>
          <w:szCs w:val="20"/>
        </w:rPr>
        <w:t xml:space="preserve">ANALYSIS OF </w:t>
      </w:r>
      <w:r w:rsidRPr="00DA1EBD">
        <w:rPr>
          <w:rFonts w:asciiTheme="majorHAnsi" w:hAnsiTheme="majorHAnsi"/>
          <w:b/>
          <w:sz w:val="20"/>
          <w:szCs w:val="20"/>
        </w:rPr>
        <w:t>EXHAUSTION OF DOMESTIC REMEDIES AND TIMELINESS OF THE PETITION</w:t>
      </w:r>
      <w:r w:rsidRPr="00DA1EBD">
        <w:rPr>
          <w:rFonts w:asciiTheme="majorHAnsi" w:eastAsia="Cambria" w:hAnsiTheme="majorHAnsi" w:cs="Cambria"/>
          <w:b/>
          <w:bCs/>
          <w:color w:val="000000"/>
          <w:sz w:val="20"/>
          <w:szCs w:val="20"/>
          <w:u w:color="000000"/>
          <w:lang w:eastAsia="es-ES"/>
        </w:rPr>
        <w:t xml:space="preserve"> </w:t>
      </w:r>
    </w:p>
    <w:p w14:paraId="05415C74" w14:textId="55C3E4B2" w:rsidR="00F621C3" w:rsidRPr="00DA1EBD" w:rsidRDefault="009671DC"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A1EBD">
        <w:rPr>
          <w:rFonts w:ascii="Cambria" w:hAnsi="Cambria"/>
          <w:sz w:val="20"/>
          <w:szCs w:val="20"/>
        </w:rPr>
        <w:t xml:space="preserve">The petitioner </w:t>
      </w:r>
      <w:r w:rsidR="00835FE3" w:rsidRPr="00DA1EBD">
        <w:rPr>
          <w:rFonts w:ascii="Cambria" w:hAnsi="Cambria"/>
          <w:sz w:val="20"/>
          <w:szCs w:val="20"/>
        </w:rPr>
        <w:t>argues</w:t>
      </w:r>
      <w:r w:rsidRPr="00DA1EBD">
        <w:rPr>
          <w:rFonts w:ascii="Cambria" w:hAnsi="Cambria"/>
          <w:sz w:val="20"/>
          <w:szCs w:val="20"/>
        </w:rPr>
        <w:t xml:space="preserve"> that </w:t>
      </w:r>
      <w:r w:rsidR="00755B42" w:rsidRPr="00DA1EBD">
        <w:rPr>
          <w:rFonts w:ascii="Cambria" w:hAnsi="Cambria"/>
          <w:sz w:val="20"/>
          <w:szCs w:val="20"/>
        </w:rPr>
        <w:t xml:space="preserve">to date </w:t>
      </w:r>
      <w:r w:rsidRPr="00DA1EBD">
        <w:rPr>
          <w:rFonts w:ascii="Cambria" w:hAnsi="Cambria"/>
          <w:sz w:val="20"/>
          <w:szCs w:val="20"/>
        </w:rPr>
        <w:t xml:space="preserve">the investigations into the massacre </w:t>
      </w:r>
      <w:r w:rsidR="00755B42" w:rsidRPr="00DA1EBD">
        <w:rPr>
          <w:rFonts w:ascii="Cambria" w:hAnsi="Cambria"/>
          <w:sz w:val="20"/>
          <w:szCs w:val="20"/>
        </w:rPr>
        <w:t>occurring</w:t>
      </w:r>
      <w:r w:rsidRPr="00DA1EBD">
        <w:rPr>
          <w:rFonts w:ascii="Cambria" w:hAnsi="Cambria"/>
          <w:sz w:val="20"/>
          <w:szCs w:val="20"/>
        </w:rPr>
        <w:t xml:space="preserve"> in Bocas de Aracataca and the subsequent forced displacement </w:t>
      </w:r>
      <w:r w:rsidR="000850B7" w:rsidRPr="00DA1EBD">
        <w:rPr>
          <w:rFonts w:ascii="Cambria" w:hAnsi="Cambria"/>
          <w:sz w:val="20"/>
          <w:szCs w:val="20"/>
        </w:rPr>
        <w:t>of</w:t>
      </w:r>
      <w:r w:rsidRPr="00DA1EBD">
        <w:rPr>
          <w:rFonts w:ascii="Cambria" w:hAnsi="Cambria"/>
          <w:sz w:val="20"/>
          <w:szCs w:val="20"/>
        </w:rPr>
        <w:t xml:space="preserve"> the alleged victims have not been concluded and that </w:t>
      </w:r>
      <w:r w:rsidR="00755B42" w:rsidRPr="00DA1EBD">
        <w:rPr>
          <w:rFonts w:ascii="Cambria" w:hAnsi="Cambria"/>
          <w:sz w:val="20"/>
          <w:szCs w:val="20"/>
        </w:rPr>
        <w:t>the perpetrators</w:t>
      </w:r>
      <w:r w:rsidRPr="00DA1EBD">
        <w:rPr>
          <w:rFonts w:ascii="Cambria" w:hAnsi="Cambria"/>
          <w:sz w:val="20"/>
          <w:szCs w:val="20"/>
        </w:rPr>
        <w:t xml:space="preserve"> have not been punished. </w:t>
      </w:r>
      <w:r w:rsidR="00485A3E" w:rsidRPr="00DA1EBD">
        <w:rPr>
          <w:rFonts w:ascii="Cambria" w:hAnsi="Cambria"/>
          <w:sz w:val="20"/>
          <w:szCs w:val="20"/>
        </w:rPr>
        <w:t>He argues that as a consequence</w:t>
      </w:r>
      <w:r w:rsidRPr="00DA1EBD">
        <w:rPr>
          <w:rFonts w:ascii="Cambria" w:hAnsi="Cambria"/>
          <w:sz w:val="20"/>
          <w:szCs w:val="20"/>
        </w:rPr>
        <w:t xml:space="preserve">, impunity persists </w:t>
      </w:r>
      <w:r w:rsidR="00755B42" w:rsidRPr="00DA1EBD">
        <w:rPr>
          <w:rFonts w:ascii="Cambria" w:hAnsi="Cambria"/>
          <w:sz w:val="20"/>
          <w:szCs w:val="20"/>
        </w:rPr>
        <w:t>together with</w:t>
      </w:r>
      <w:r w:rsidRPr="00DA1EBD">
        <w:rPr>
          <w:rFonts w:ascii="Cambria" w:hAnsi="Cambria"/>
          <w:sz w:val="20"/>
          <w:szCs w:val="20"/>
        </w:rPr>
        <w:t xml:space="preserve"> an unjustified delay in justice. For its part, the State indicates </w:t>
      </w:r>
      <w:r w:rsidR="00755B42" w:rsidRPr="00DA1EBD">
        <w:rPr>
          <w:rFonts w:ascii="Cambria" w:hAnsi="Cambria"/>
          <w:sz w:val="20"/>
          <w:szCs w:val="20"/>
        </w:rPr>
        <w:t>a failure to exhaust remedies</w:t>
      </w:r>
      <w:r w:rsidRPr="00DA1EBD">
        <w:rPr>
          <w:rFonts w:ascii="Cambria" w:hAnsi="Cambria"/>
          <w:sz w:val="20"/>
          <w:szCs w:val="20"/>
        </w:rPr>
        <w:t>, since criminal proceeding</w:t>
      </w:r>
      <w:r w:rsidR="00755B42" w:rsidRPr="00DA1EBD">
        <w:rPr>
          <w:rFonts w:ascii="Cambria" w:hAnsi="Cambria"/>
          <w:sz w:val="20"/>
          <w:szCs w:val="20"/>
        </w:rPr>
        <w:t>s</w:t>
      </w:r>
      <w:r w:rsidRPr="00DA1EBD">
        <w:rPr>
          <w:rFonts w:ascii="Cambria" w:hAnsi="Cambria"/>
          <w:sz w:val="20"/>
          <w:szCs w:val="20"/>
        </w:rPr>
        <w:t xml:space="preserve"> </w:t>
      </w:r>
      <w:r w:rsidR="00755B42" w:rsidRPr="00DA1EBD">
        <w:rPr>
          <w:rFonts w:ascii="Cambria" w:hAnsi="Cambria"/>
          <w:sz w:val="20"/>
          <w:szCs w:val="20"/>
        </w:rPr>
        <w:t>are still</w:t>
      </w:r>
      <w:r w:rsidRPr="00DA1EBD">
        <w:rPr>
          <w:rFonts w:ascii="Cambria" w:hAnsi="Cambria"/>
          <w:sz w:val="20"/>
          <w:szCs w:val="20"/>
        </w:rPr>
        <w:t xml:space="preserve"> ongoing and, in view of the complexity of the case, there </w:t>
      </w:r>
      <w:r w:rsidR="00755B42" w:rsidRPr="00DA1EBD">
        <w:rPr>
          <w:rFonts w:ascii="Cambria" w:hAnsi="Cambria"/>
          <w:sz w:val="20"/>
          <w:szCs w:val="20"/>
        </w:rPr>
        <w:t>has been</w:t>
      </w:r>
      <w:r w:rsidRPr="00DA1EBD">
        <w:rPr>
          <w:rFonts w:ascii="Cambria" w:hAnsi="Cambria"/>
          <w:sz w:val="20"/>
          <w:szCs w:val="20"/>
        </w:rPr>
        <w:t xml:space="preserve"> no unjustified delay.</w:t>
      </w:r>
    </w:p>
    <w:p w14:paraId="25F512DA" w14:textId="14B09672" w:rsidR="007D0305" w:rsidRPr="00DA1EBD" w:rsidRDefault="009671DC"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A1EBD">
        <w:rPr>
          <w:rFonts w:ascii="Cambria" w:hAnsi="Cambria"/>
          <w:sz w:val="20"/>
          <w:szCs w:val="20"/>
        </w:rPr>
        <w:t xml:space="preserve">The Commission recalls that, as a general rule, a criminal investigation must be </w:t>
      </w:r>
      <w:r w:rsidR="0024601D" w:rsidRPr="00DA1EBD">
        <w:rPr>
          <w:rFonts w:ascii="Cambria" w:hAnsi="Cambria"/>
          <w:sz w:val="20"/>
          <w:szCs w:val="20"/>
        </w:rPr>
        <w:t>undertaken</w:t>
      </w:r>
      <w:r w:rsidRPr="00DA1EBD">
        <w:rPr>
          <w:rFonts w:ascii="Cambria" w:hAnsi="Cambria"/>
          <w:sz w:val="20"/>
          <w:szCs w:val="20"/>
        </w:rPr>
        <w:t xml:space="preserve"> promptly </w:t>
      </w:r>
      <w:r w:rsidR="0024601D" w:rsidRPr="00DA1EBD">
        <w:rPr>
          <w:rFonts w:ascii="Cambria" w:hAnsi="Cambria"/>
          <w:sz w:val="20"/>
          <w:szCs w:val="20"/>
        </w:rPr>
        <w:t xml:space="preserve">in order </w:t>
      </w:r>
      <w:r w:rsidRPr="00DA1EBD">
        <w:rPr>
          <w:rFonts w:ascii="Cambria" w:hAnsi="Cambria"/>
          <w:sz w:val="20"/>
          <w:szCs w:val="20"/>
        </w:rPr>
        <w:t xml:space="preserve">to protect the interests of the victims, preserve the evidence and safeguard the rights of any person </w:t>
      </w:r>
      <w:r w:rsidR="0024601D" w:rsidRPr="00DA1EBD">
        <w:rPr>
          <w:rFonts w:ascii="Cambria" w:hAnsi="Cambria"/>
          <w:sz w:val="20"/>
          <w:szCs w:val="20"/>
        </w:rPr>
        <w:t xml:space="preserve">deemed a suspect in the </w:t>
      </w:r>
      <w:r w:rsidRPr="00DA1EBD">
        <w:rPr>
          <w:rFonts w:ascii="Cambria" w:hAnsi="Cambria"/>
          <w:sz w:val="20"/>
          <w:szCs w:val="20"/>
        </w:rPr>
        <w:t>context of the investigation</w:t>
      </w:r>
      <w:r w:rsidR="0024601D" w:rsidRPr="00DA1EBD">
        <w:rPr>
          <w:rFonts w:ascii="Cambria" w:hAnsi="Cambria"/>
          <w:sz w:val="20"/>
          <w:szCs w:val="20"/>
        </w:rPr>
        <w:t>.</w:t>
      </w:r>
      <w:r w:rsidR="00CB12AC" w:rsidRPr="00DA1EBD">
        <w:rPr>
          <w:rStyle w:val="FootnoteReference"/>
          <w:rFonts w:ascii="Cambria" w:hAnsi="Cambria"/>
          <w:sz w:val="20"/>
          <w:szCs w:val="20"/>
        </w:rPr>
        <w:footnoteReference w:id="7"/>
      </w:r>
      <w:r w:rsidRPr="00DA1EBD">
        <w:rPr>
          <w:rFonts w:ascii="Cambria" w:hAnsi="Cambria"/>
          <w:sz w:val="20"/>
          <w:szCs w:val="20"/>
        </w:rPr>
        <w:t xml:space="preserve"> From the information provided by the parties, </w:t>
      </w:r>
      <w:r w:rsidR="0024601D" w:rsidRPr="00DA1EBD">
        <w:rPr>
          <w:rFonts w:ascii="Cambria" w:hAnsi="Cambria"/>
          <w:sz w:val="20"/>
          <w:szCs w:val="20"/>
        </w:rPr>
        <w:t>the Commission observes</w:t>
      </w:r>
      <w:r w:rsidRPr="00DA1EBD">
        <w:rPr>
          <w:rFonts w:ascii="Cambria" w:hAnsi="Cambria"/>
          <w:sz w:val="20"/>
          <w:szCs w:val="20"/>
        </w:rPr>
        <w:t xml:space="preserve"> that the investigation aimed at clarifying the facts </w:t>
      </w:r>
      <w:r w:rsidR="0024601D" w:rsidRPr="00DA1EBD">
        <w:rPr>
          <w:rFonts w:ascii="Cambria" w:hAnsi="Cambria"/>
          <w:sz w:val="20"/>
          <w:szCs w:val="20"/>
        </w:rPr>
        <w:t>remains open</w:t>
      </w:r>
      <w:r w:rsidRPr="00DA1EBD">
        <w:rPr>
          <w:rFonts w:ascii="Cambria" w:hAnsi="Cambria"/>
          <w:sz w:val="20"/>
          <w:szCs w:val="20"/>
        </w:rPr>
        <w:t xml:space="preserve">, without the responsibility of the material and intellectual </w:t>
      </w:r>
      <w:r w:rsidR="0024601D" w:rsidRPr="00DA1EBD">
        <w:rPr>
          <w:rFonts w:ascii="Cambria" w:hAnsi="Cambria"/>
          <w:sz w:val="20"/>
          <w:szCs w:val="20"/>
        </w:rPr>
        <w:t>perpetrators having been clarified or established</w:t>
      </w:r>
      <w:r w:rsidRPr="00DA1EBD">
        <w:rPr>
          <w:rFonts w:ascii="Cambria" w:hAnsi="Cambria"/>
          <w:sz w:val="20"/>
          <w:szCs w:val="20"/>
        </w:rPr>
        <w:t xml:space="preserve">. Therefore, </w:t>
      </w:r>
      <w:r w:rsidR="0024601D" w:rsidRPr="00DA1EBD">
        <w:rPr>
          <w:rFonts w:ascii="Cambria" w:hAnsi="Cambria"/>
          <w:sz w:val="20"/>
          <w:szCs w:val="20"/>
        </w:rPr>
        <w:t>in view of</w:t>
      </w:r>
      <w:r w:rsidRPr="00DA1EBD">
        <w:rPr>
          <w:rFonts w:ascii="Cambria" w:hAnsi="Cambria"/>
          <w:sz w:val="20"/>
          <w:szCs w:val="20"/>
        </w:rPr>
        <w:t xml:space="preserve"> the characteristics of the petition and the time elapsed since the events </w:t>
      </w:r>
      <w:r w:rsidR="0024601D" w:rsidRPr="00DA1EBD">
        <w:rPr>
          <w:rFonts w:ascii="Cambria" w:hAnsi="Cambria"/>
          <w:sz w:val="20"/>
          <w:szCs w:val="20"/>
        </w:rPr>
        <w:t xml:space="preserve">of the </w:t>
      </w:r>
      <w:r w:rsidRPr="00DA1EBD">
        <w:rPr>
          <w:rFonts w:ascii="Cambria" w:hAnsi="Cambria"/>
          <w:sz w:val="20"/>
          <w:szCs w:val="20"/>
        </w:rPr>
        <w:t xml:space="preserve">complaint, the Commission considers that the exception </w:t>
      </w:r>
      <w:r w:rsidR="0024601D" w:rsidRPr="00DA1EBD">
        <w:rPr>
          <w:rFonts w:ascii="Cambria" w:hAnsi="Cambria"/>
          <w:sz w:val="20"/>
          <w:szCs w:val="20"/>
        </w:rPr>
        <w:t>established</w:t>
      </w:r>
      <w:r w:rsidRPr="00DA1EBD">
        <w:rPr>
          <w:rFonts w:ascii="Cambria" w:hAnsi="Cambria"/>
          <w:sz w:val="20"/>
          <w:szCs w:val="20"/>
        </w:rPr>
        <w:t xml:space="preserve"> in Article 46.2.c of the Convention is applicable. In addition, the Commission considers that the petition was filed within a reasonable period of time and that the admissibility requirement regarding </w:t>
      </w:r>
      <w:r w:rsidR="0024601D" w:rsidRPr="00DA1EBD">
        <w:rPr>
          <w:rFonts w:ascii="Cambria" w:hAnsi="Cambria"/>
          <w:sz w:val="20"/>
          <w:szCs w:val="20"/>
        </w:rPr>
        <w:t>timeliness has been</w:t>
      </w:r>
      <w:r w:rsidRPr="00DA1EBD">
        <w:rPr>
          <w:rFonts w:ascii="Cambria" w:hAnsi="Cambria"/>
          <w:sz w:val="20"/>
          <w:szCs w:val="20"/>
        </w:rPr>
        <w:t xml:space="preserve"> satisfied.</w:t>
      </w:r>
    </w:p>
    <w:p w14:paraId="632ABF0C" w14:textId="31347F29" w:rsidR="007D0305" w:rsidRPr="00DA1EBD" w:rsidRDefault="009671DC"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A1EBD">
        <w:rPr>
          <w:rFonts w:ascii="Cambria" w:hAnsi="Cambria"/>
          <w:sz w:val="20"/>
          <w:szCs w:val="20"/>
        </w:rPr>
        <w:t xml:space="preserve">On the other hand, the IACHR recalls that, for purposes of determining the admissibility of a claim </w:t>
      </w:r>
      <w:r w:rsidR="00F41DE3" w:rsidRPr="00DA1EBD">
        <w:rPr>
          <w:rFonts w:ascii="Cambria" w:hAnsi="Cambria"/>
          <w:sz w:val="20"/>
          <w:szCs w:val="20"/>
        </w:rPr>
        <w:t>such as the present</w:t>
      </w:r>
      <w:r w:rsidRPr="00DA1EBD">
        <w:rPr>
          <w:rFonts w:ascii="Cambria" w:hAnsi="Cambria"/>
          <w:sz w:val="20"/>
          <w:szCs w:val="20"/>
        </w:rPr>
        <w:t xml:space="preserve">, the reparation action does not constitute the appropriate remedy nor is its exhaustion necessary, </w:t>
      </w:r>
      <w:r w:rsidR="000F1624" w:rsidRPr="00DA1EBD">
        <w:rPr>
          <w:rFonts w:ascii="Cambria" w:hAnsi="Cambria"/>
          <w:sz w:val="20"/>
          <w:szCs w:val="20"/>
        </w:rPr>
        <w:t>since it is not adequate for providing integral reparation, which includes clarifying the facts and justice for the family members</w:t>
      </w:r>
      <w:r w:rsidRPr="00DA1EBD">
        <w:rPr>
          <w:rFonts w:ascii="Cambria" w:hAnsi="Cambria"/>
          <w:sz w:val="20"/>
          <w:szCs w:val="20"/>
        </w:rPr>
        <w:t>.</w:t>
      </w:r>
      <w:r w:rsidR="00F41DE3" w:rsidRPr="00DA1EBD">
        <w:rPr>
          <w:rStyle w:val="FootnoteReference"/>
          <w:rFonts w:ascii="Cambria" w:hAnsi="Cambria"/>
          <w:sz w:val="20"/>
          <w:szCs w:val="20"/>
        </w:rPr>
        <w:footnoteReference w:id="8"/>
      </w:r>
      <w:r w:rsidR="000F1624" w:rsidRPr="00DA1EBD">
        <w:rPr>
          <w:rFonts w:ascii="Cambria" w:hAnsi="Cambria"/>
          <w:sz w:val="20"/>
          <w:szCs w:val="20"/>
        </w:rPr>
        <w:t xml:space="preserve"> Without prejudice to</w:t>
      </w:r>
      <w:r w:rsidRPr="00DA1EBD">
        <w:rPr>
          <w:rFonts w:ascii="Cambria" w:hAnsi="Cambria"/>
          <w:sz w:val="20"/>
          <w:szCs w:val="20"/>
        </w:rPr>
        <w:t xml:space="preserve"> the foregoing, although in the instant case criminal proceeding</w:t>
      </w:r>
      <w:r w:rsidR="00485A3E" w:rsidRPr="00DA1EBD">
        <w:rPr>
          <w:rFonts w:ascii="Cambria" w:hAnsi="Cambria"/>
          <w:sz w:val="20"/>
          <w:szCs w:val="20"/>
        </w:rPr>
        <w:t>s</w:t>
      </w:r>
      <w:r w:rsidRPr="00DA1EBD">
        <w:rPr>
          <w:rFonts w:ascii="Cambria" w:hAnsi="Cambria"/>
          <w:sz w:val="20"/>
          <w:szCs w:val="20"/>
        </w:rPr>
        <w:t xml:space="preserve"> </w:t>
      </w:r>
      <w:r w:rsidR="00485A3E" w:rsidRPr="00DA1EBD">
        <w:rPr>
          <w:rFonts w:ascii="Cambria" w:hAnsi="Cambria"/>
          <w:sz w:val="20"/>
          <w:szCs w:val="20"/>
        </w:rPr>
        <w:t>are</w:t>
      </w:r>
      <w:r w:rsidRPr="00DA1EBD">
        <w:rPr>
          <w:rFonts w:ascii="Cambria" w:hAnsi="Cambria"/>
          <w:sz w:val="20"/>
          <w:szCs w:val="20"/>
        </w:rPr>
        <w:t xml:space="preserve"> the appropriate remedy for the investigation of the facts, it is </w:t>
      </w:r>
      <w:r w:rsidR="000F1624" w:rsidRPr="00DA1EBD">
        <w:rPr>
          <w:rFonts w:ascii="Cambria" w:hAnsi="Cambria"/>
          <w:sz w:val="20"/>
          <w:szCs w:val="20"/>
        </w:rPr>
        <w:t>observed</w:t>
      </w:r>
      <w:r w:rsidR="00485A3E" w:rsidRPr="00DA1EBD">
        <w:rPr>
          <w:rFonts w:ascii="Cambria" w:hAnsi="Cambria"/>
          <w:sz w:val="20"/>
          <w:szCs w:val="20"/>
        </w:rPr>
        <w:t xml:space="preserve"> that the petitioner</w:t>
      </w:r>
      <w:r w:rsidRPr="00DA1EBD">
        <w:rPr>
          <w:rFonts w:ascii="Cambria" w:hAnsi="Cambria"/>
          <w:sz w:val="20"/>
          <w:szCs w:val="20"/>
        </w:rPr>
        <w:t xml:space="preserve"> also allege</w:t>
      </w:r>
      <w:r w:rsidR="00485A3E" w:rsidRPr="00DA1EBD">
        <w:rPr>
          <w:rFonts w:ascii="Cambria" w:hAnsi="Cambria"/>
          <w:sz w:val="20"/>
          <w:szCs w:val="20"/>
        </w:rPr>
        <w:t>s</w:t>
      </w:r>
      <w:r w:rsidRPr="00DA1EBD">
        <w:rPr>
          <w:rFonts w:ascii="Cambria" w:hAnsi="Cambria"/>
          <w:sz w:val="20"/>
          <w:szCs w:val="20"/>
        </w:rPr>
        <w:t xml:space="preserve"> </w:t>
      </w:r>
      <w:r w:rsidR="00485A3E" w:rsidRPr="00DA1EBD">
        <w:rPr>
          <w:rFonts w:ascii="Cambria" w:hAnsi="Cambria"/>
          <w:sz w:val="20"/>
          <w:szCs w:val="20"/>
        </w:rPr>
        <w:t xml:space="preserve">that </w:t>
      </w:r>
      <w:r w:rsidRPr="00DA1EBD">
        <w:rPr>
          <w:rFonts w:ascii="Cambria" w:hAnsi="Cambria"/>
          <w:sz w:val="20"/>
          <w:szCs w:val="20"/>
        </w:rPr>
        <w:t xml:space="preserve">specific violations </w:t>
      </w:r>
      <w:r w:rsidR="00485A3E" w:rsidRPr="00DA1EBD">
        <w:rPr>
          <w:rFonts w:ascii="Cambria" w:hAnsi="Cambria"/>
          <w:sz w:val="20"/>
          <w:szCs w:val="20"/>
        </w:rPr>
        <w:t xml:space="preserve">have occurred in connection with the </w:t>
      </w:r>
      <w:r w:rsidR="000F1624" w:rsidRPr="00DA1EBD">
        <w:rPr>
          <w:rFonts w:ascii="Cambria" w:hAnsi="Cambria"/>
          <w:i/>
          <w:sz w:val="20"/>
          <w:szCs w:val="20"/>
        </w:rPr>
        <w:t>tutela</w:t>
      </w:r>
      <w:r w:rsidR="000F1624" w:rsidRPr="00DA1EBD">
        <w:rPr>
          <w:rFonts w:ascii="Cambria" w:hAnsi="Cambria"/>
          <w:sz w:val="20"/>
          <w:szCs w:val="20"/>
        </w:rPr>
        <w:t xml:space="preserve"> actions </w:t>
      </w:r>
      <w:r w:rsidR="00485A3E" w:rsidRPr="00DA1EBD">
        <w:rPr>
          <w:rFonts w:ascii="Cambria" w:hAnsi="Cambria"/>
          <w:sz w:val="20"/>
          <w:szCs w:val="20"/>
        </w:rPr>
        <w:t>pursued by the victims of forced displacement to claim reparations, and the lack of compliance with said actions.</w:t>
      </w:r>
      <w:r w:rsidRPr="00DA1EBD">
        <w:rPr>
          <w:rFonts w:ascii="Cambria" w:hAnsi="Cambria"/>
          <w:sz w:val="20"/>
          <w:szCs w:val="20"/>
        </w:rPr>
        <w:t xml:space="preserve"> Therefore, given the c</w:t>
      </w:r>
      <w:r w:rsidR="000F1624" w:rsidRPr="00DA1EBD">
        <w:rPr>
          <w:rFonts w:ascii="Cambria" w:hAnsi="Cambria"/>
          <w:sz w:val="20"/>
          <w:szCs w:val="20"/>
        </w:rPr>
        <w:t>onnection between these proceedings</w:t>
      </w:r>
      <w:r w:rsidRPr="00DA1EBD">
        <w:rPr>
          <w:rFonts w:ascii="Cambria" w:hAnsi="Cambria"/>
          <w:sz w:val="20"/>
          <w:szCs w:val="20"/>
        </w:rPr>
        <w:t xml:space="preserve">, the Commission </w:t>
      </w:r>
      <w:r w:rsidR="00485A3E" w:rsidRPr="00DA1EBD">
        <w:rPr>
          <w:rFonts w:ascii="Cambria" w:hAnsi="Cambria"/>
          <w:sz w:val="20"/>
          <w:szCs w:val="20"/>
        </w:rPr>
        <w:t>finds</w:t>
      </w:r>
      <w:r w:rsidRPr="00DA1EBD">
        <w:rPr>
          <w:rFonts w:ascii="Cambria" w:hAnsi="Cambria"/>
          <w:sz w:val="20"/>
          <w:szCs w:val="20"/>
        </w:rPr>
        <w:t xml:space="preserve"> that with respect to the </w:t>
      </w:r>
      <w:r w:rsidR="000F1624" w:rsidRPr="00DA1EBD">
        <w:rPr>
          <w:rFonts w:ascii="Cambria" w:hAnsi="Cambria"/>
          <w:sz w:val="20"/>
          <w:szCs w:val="20"/>
        </w:rPr>
        <w:t>issue of compensation</w:t>
      </w:r>
      <w:r w:rsidRPr="00DA1EBD">
        <w:rPr>
          <w:rFonts w:ascii="Cambria" w:hAnsi="Cambria"/>
          <w:sz w:val="20"/>
          <w:szCs w:val="20"/>
        </w:rPr>
        <w:t>, domestic remedies were exhausted with judgment 254 of 2013 on April 24, 2013, issued by the Constitutional Court.</w:t>
      </w:r>
    </w:p>
    <w:p w14:paraId="378478A0" w14:textId="50B01E58" w:rsidR="00F621C3" w:rsidRPr="00DA1EBD" w:rsidRDefault="00F621C3" w:rsidP="00F621C3">
      <w:pPr>
        <w:pStyle w:val="ListParagraph"/>
        <w:spacing w:before="240" w:after="240"/>
        <w:jc w:val="both"/>
        <w:rPr>
          <w:rFonts w:asciiTheme="majorHAnsi" w:hAnsiTheme="majorHAnsi"/>
          <w:b/>
          <w:sz w:val="20"/>
          <w:szCs w:val="20"/>
        </w:rPr>
      </w:pPr>
      <w:r w:rsidRPr="00DA1EBD">
        <w:rPr>
          <w:rFonts w:asciiTheme="majorHAnsi" w:hAnsiTheme="majorHAnsi"/>
          <w:b/>
          <w:bCs/>
          <w:sz w:val="20"/>
          <w:szCs w:val="20"/>
        </w:rPr>
        <w:t>VII.</w:t>
      </w:r>
      <w:r w:rsidRPr="00DA1EBD">
        <w:rPr>
          <w:rFonts w:asciiTheme="majorHAnsi" w:hAnsiTheme="majorHAnsi"/>
          <w:b/>
          <w:bCs/>
          <w:sz w:val="20"/>
          <w:szCs w:val="20"/>
        </w:rPr>
        <w:tab/>
      </w:r>
      <w:r w:rsidR="001F1902" w:rsidRPr="00DA1EBD">
        <w:rPr>
          <w:rFonts w:asciiTheme="majorHAnsi" w:hAnsiTheme="majorHAnsi"/>
          <w:b/>
          <w:bCs/>
          <w:sz w:val="20"/>
          <w:szCs w:val="20"/>
        </w:rPr>
        <w:t xml:space="preserve">ANALYSIS OF </w:t>
      </w:r>
      <w:r w:rsidRPr="00DA1EBD">
        <w:rPr>
          <w:rFonts w:asciiTheme="majorHAnsi" w:hAnsiTheme="majorHAnsi"/>
          <w:b/>
          <w:bCs/>
          <w:sz w:val="20"/>
          <w:szCs w:val="20"/>
        </w:rPr>
        <w:t>COLORABLE CLAIM</w:t>
      </w:r>
    </w:p>
    <w:p w14:paraId="70146B96" w14:textId="13EA76E5" w:rsidR="00F621C3" w:rsidRPr="00DA1EBD" w:rsidRDefault="009671DC"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A1EBD">
        <w:rPr>
          <w:rFonts w:ascii="Cambria" w:hAnsi="Cambria"/>
          <w:sz w:val="20"/>
          <w:szCs w:val="20"/>
        </w:rPr>
        <w:t>In view of the factual and legal elements presented by the parties and the nature of the matter brought to its attention, the Commission considers that</w:t>
      </w:r>
      <w:r w:rsidR="000937A9" w:rsidRPr="00DA1EBD">
        <w:rPr>
          <w:rFonts w:ascii="Cambria" w:hAnsi="Cambria"/>
          <w:sz w:val="20"/>
          <w:szCs w:val="20"/>
        </w:rPr>
        <w:t>:</w:t>
      </w:r>
      <w:r w:rsidRPr="00DA1EBD">
        <w:rPr>
          <w:rFonts w:ascii="Cambria" w:hAnsi="Cambria"/>
          <w:sz w:val="20"/>
          <w:szCs w:val="20"/>
        </w:rPr>
        <w:t xml:space="preserve"> the alleged illegal detentions, </w:t>
      </w:r>
      <w:r w:rsidR="000937A9" w:rsidRPr="00DA1EBD">
        <w:rPr>
          <w:rFonts w:ascii="Cambria" w:hAnsi="Cambria"/>
          <w:sz w:val="20"/>
          <w:szCs w:val="20"/>
        </w:rPr>
        <w:t xml:space="preserve">acts of </w:t>
      </w:r>
      <w:r w:rsidRPr="00DA1EBD">
        <w:rPr>
          <w:rFonts w:ascii="Cambria" w:hAnsi="Cambria"/>
          <w:sz w:val="20"/>
          <w:szCs w:val="20"/>
        </w:rPr>
        <w:t>torture and extrajudicial executions of the alleged victims, as well as the alleged effects on the personal integrity</w:t>
      </w:r>
      <w:r w:rsidR="000937A9" w:rsidRPr="00DA1EBD">
        <w:rPr>
          <w:rFonts w:ascii="Cambria" w:hAnsi="Cambria"/>
          <w:sz w:val="20"/>
          <w:szCs w:val="20"/>
        </w:rPr>
        <w:t>,</w:t>
      </w:r>
      <w:r w:rsidRPr="00DA1EBD">
        <w:rPr>
          <w:rFonts w:ascii="Cambria" w:hAnsi="Cambria"/>
          <w:sz w:val="20"/>
          <w:szCs w:val="20"/>
        </w:rPr>
        <w:t xml:space="preserve"> and </w:t>
      </w:r>
      <w:r w:rsidR="000937A9" w:rsidRPr="00DA1EBD">
        <w:rPr>
          <w:rFonts w:ascii="Cambria" w:hAnsi="Cambria"/>
          <w:sz w:val="20"/>
          <w:szCs w:val="20"/>
        </w:rPr>
        <w:t xml:space="preserve">the </w:t>
      </w:r>
      <w:r w:rsidRPr="00DA1EBD">
        <w:rPr>
          <w:rFonts w:ascii="Cambria" w:hAnsi="Cambria"/>
          <w:sz w:val="20"/>
          <w:szCs w:val="20"/>
        </w:rPr>
        <w:t>lack of effective judicial protection of their next of kin, caused as a result of the massacre perpetrated in Bocas de Aracataca, could characterize possib</w:t>
      </w:r>
      <w:r w:rsidR="00FE681C" w:rsidRPr="00DA1EBD">
        <w:rPr>
          <w:rFonts w:ascii="Cambria" w:hAnsi="Cambria"/>
          <w:sz w:val="20"/>
          <w:szCs w:val="20"/>
        </w:rPr>
        <w:t>le violations of A</w:t>
      </w:r>
      <w:r w:rsidRPr="00DA1EBD">
        <w:rPr>
          <w:rFonts w:ascii="Cambria" w:hAnsi="Cambria"/>
          <w:sz w:val="20"/>
          <w:szCs w:val="20"/>
        </w:rPr>
        <w:t>rticles 4 (life), 5 (</w:t>
      </w:r>
      <w:r w:rsidR="000937A9" w:rsidRPr="00DA1EBD">
        <w:rPr>
          <w:rFonts w:ascii="Cambria" w:hAnsi="Cambria"/>
          <w:sz w:val="20"/>
          <w:szCs w:val="20"/>
        </w:rPr>
        <w:t>humane treatment</w:t>
      </w:r>
      <w:r w:rsidRPr="00DA1EBD">
        <w:rPr>
          <w:rFonts w:ascii="Cambria" w:hAnsi="Cambria"/>
          <w:sz w:val="20"/>
          <w:szCs w:val="20"/>
        </w:rPr>
        <w:t>), 7 (</w:t>
      </w:r>
      <w:r w:rsidR="000937A9" w:rsidRPr="00DA1EBD">
        <w:rPr>
          <w:rFonts w:ascii="Cambria" w:hAnsi="Cambria"/>
          <w:sz w:val="20"/>
          <w:szCs w:val="20"/>
        </w:rPr>
        <w:t xml:space="preserve">to </w:t>
      </w:r>
      <w:r w:rsidRPr="00DA1EBD">
        <w:rPr>
          <w:rFonts w:ascii="Cambria" w:hAnsi="Cambria"/>
          <w:sz w:val="20"/>
          <w:szCs w:val="20"/>
        </w:rPr>
        <w:t>personal liberty), 8 (</w:t>
      </w:r>
      <w:r w:rsidR="000937A9" w:rsidRPr="00DA1EBD">
        <w:rPr>
          <w:rFonts w:ascii="Cambria" w:hAnsi="Cambria"/>
          <w:sz w:val="20"/>
          <w:szCs w:val="20"/>
        </w:rPr>
        <w:t>fair trial</w:t>
      </w:r>
      <w:r w:rsidRPr="00DA1EBD">
        <w:rPr>
          <w:rFonts w:ascii="Cambria" w:hAnsi="Cambria"/>
          <w:sz w:val="20"/>
          <w:szCs w:val="20"/>
        </w:rPr>
        <w:t>) and 25 (judicial protection) of the American</w:t>
      </w:r>
      <w:r w:rsidR="000937A9" w:rsidRPr="00DA1EBD">
        <w:rPr>
          <w:rFonts w:ascii="Cambria" w:hAnsi="Cambria"/>
          <w:sz w:val="20"/>
          <w:szCs w:val="20"/>
        </w:rPr>
        <w:t xml:space="preserve"> Convention in relation to its A</w:t>
      </w:r>
      <w:r w:rsidRPr="00DA1EBD">
        <w:rPr>
          <w:rFonts w:ascii="Cambria" w:hAnsi="Cambria"/>
          <w:sz w:val="20"/>
          <w:szCs w:val="20"/>
        </w:rPr>
        <w:t xml:space="preserve">rticles 1.1 and 2; as well as </w:t>
      </w:r>
      <w:r w:rsidR="000937A9" w:rsidRPr="00DA1EBD">
        <w:rPr>
          <w:rFonts w:ascii="Cambria" w:hAnsi="Cambria"/>
          <w:sz w:val="20"/>
          <w:szCs w:val="20"/>
        </w:rPr>
        <w:t>A</w:t>
      </w:r>
      <w:r w:rsidRPr="00DA1EBD">
        <w:rPr>
          <w:rFonts w:ascii="Cambria" w:hAnsi="Cambria"/>
          <w:sz w:val="20"/>
          <w:szCs w:val="20"/>
        </w:rPr>
        <w:t>rticles 1, 6 and 8 of the Inter-American Convention to Prevent and Punish Torture, due to the alleged lack of investigation, to the detriment of the alleged victims and their families.</w:t>
      </w:r>
    </w:p>
    <w:p w14:paraId="0B6C5ADF" w14:textId="64006C40" w:rsidR="007D0305" w:rsidRPr="00DA1EBD" w:rsidRDefault="007956A6" w:rsidP="000120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A1EBD">
        <w:rPr>
          <w:rFonts w:ascii="Cambria" w:hAnsi="Cambria"/>
          <w:sz w:val="20"/>
          <w:szCs w:val="20"/>
        </w:rPr>
        <w:t>The Commission also</w:t>
      </w:r>
      <w:r w:rsidR="009671DC" w:rsidRPr="00DA1EBD">
        <w:rPr>
          <w:rFonts w:ascii="Cambria" w:hAnsi="Cambria"/>
          <w:sz w:val="20"/>
          <w:szCs w:val="20"/>
        </w:rPr>
        <w:t xml:space="preserve"> considers that the alleged robberies, destruction and looting of the alleged victims</w:t>
      </w:r>
      <w:r w:rsidRPr="00DA1EBD">
        <w:rPr>
          <w:rFonts w:ascii="Cambria" w:hAnsi="Cambria"/>
          <w:sz w:val="20"/>
          <w:szCs w:val="20"/>
        </w:rPr>
        <w:t>’ properties</w:t>
      </w:r>
      <w:r w:rsidR="000120ED">
        <w:rPr>
          <w:rFonts w:ascii="Cambria" w:hAnsi="Cambria"/>
          <w:sz w:val="20"/>
          <w:szCs w:val="20"/>
        </w:rPr>
        <w:t xml:space="preserve"> and households</w:t>
      </w:r>
      <w:r w:rsidR="009671DC" w:rsidRPr="00DA1EBD">
        <w:rPr>
          <w:rFonts w:ascii="Cambria" w:hAnsi="Cambria"/>
          <w:sz w:val="20"/>
          <w:szCs w:val="20"/>
        </w:rPr>
        <w:t>,</w:t>
      </w:r>
      <w:r w:rsidR="000120ED">
        <w:rPr>
          <w:rFonts w:ascii="Cambria" w:hAnsi="Cambria"/>
          <w:sz w:val="20"/>
          <w:szCs w:val="20"/>
        </w:rPr>
        <w:t xml:space="preserve"> </w:t>
      </w:r>
      <w:r w:rsidR="000120ED" w:rsidRPr="000120ED">
        <w:rPr>
          <w:rFonts w:ascii="Cambria" w:hAnsi="Cambria"/>
          <w:sz w:val="20"/>
          <w:szCs w:val="20"/>
        </w:rPr>
        <w:t xml:space="preserve">the lack of protection to the family as the impacts on </w:t>
      </w:r>
      <w:r w:rsidR="000120ED">
        <w:rPr>
          <w:rFonts w:ascii="Cambria" w:hAnsi="Cambria"/>
          <w:sz w:val="20"/>
          <w:szCs w:val="20"/>
        </w:rPr>
        <w:t>children,</w:t>
      </w:r>
      <w:r w:rsidR="009671DC" w:rsidRPr="00DA1EBD">
        <w:rPr>
          <w:rFonts w:ascii="Cambria" w:hAnsi="Cambria"/>
          <w:sz w:val="20"/>
          <w:szCs w:val="20"/>
        </w:rPr>
        <w:t xml:space="preserve"> </w:t>
      </w:r>
      <w:r w:rsidRPr="00DA1EBD">
        <w:rPr>
          <w:rFonts w:ascii="Cambria" w:hAnsi="Cambria"/>
          <w:sz w:val="20"/>
          <w:szCs w:val="20"/>
        </w:rPr>
        <w:t xml:space="preserve">the </w:t>
      </w:r>
      <w:r w:rsidR="009671DC" w:rsidRPr="00DA1EBD">
        <w:rPr>
          <w:rFonts w:ascii="Cambria" w:hAnsi="Cambria"/>
          <w:sz w:val="20"/>
          <w:szCs w:val="20"/>
        </w:rPr>
        <w:t xml:space="preserve">intimidation </w:t>
      </w:r>
      <w:r w:rsidRPr="00DA1EBD">
        <w:rPr>
          <w:rFonts w:ascii="Cambria" w:hAnsi="Cambria"/>
          <w:sz w:val="20"/>
          <w:szCs w:val="20"/>
        </w:rPr>
        <w:t>by illegal</w:t>
      </w:r>
      <w:r w:rsidR="009671DC" w:rsidRPr="00DA1EBD">
        <w:rPr>
          <w:rFonts w:ascii="Cambria" w:hAnsi="Cambria"/>
          <w:sz w:val="20"/>
          <w:szCs w:val="20"/>
        </w:rPr>
        <w:t xml:space="preserve"> armed groups in the area</w:t>
      </w:r>
      <w:r w:rsidRPr="00DA1EBD">
        <w:rPr>
          <w:rFonts w:ascii="Cambria" w:hAnsi="Cambria"/>
          <w:sz w:val="20"/>
          <w:szCs w:val="20"/>
        </w:rPr>
        <w:t>,</w:t>
      </w:r>
      <w:r w:rsidR="009671DC" w:rsidRPr="00DA1EBD">
        <w:rPr>
          <w:rFonts w:ascii="Cambria" w:hAnsi="Cambria"/>
          <w:sz w:val="20"/>
          <w:szCs w:val="20"/>
        </w:rPr>
        <w:t xml:space="preserve"> and the </w:t>
      </w:r>
      <w:r w:rsidRPr="00DA1EBD">
        <w:rPr>
          <w:rFonts w:ascii="Cambria" w:hAnsi="Cambria"/>
          <w:sz w:val="20"/>
          <w:szCs w:val="20"/>
        </w:rPr>
        <w:t xml:space="preserve">State’s </w:t>
      </w:r>
      <w:r w:rsidR="009671DC" w:rsidRPr="00DA1EBD">
        <w:rPr>
          <w:rFonts w:ascii="Cambria" w:hAnsi="Cambria"/>
          <w:sz w:val="20"/>
          <w:szCs w:val="20"/>
        </w:rPr>
        <w:t>alleged acquiescence and</w:t>
      </w:r>
      <w:r w:rsidRPr="00DA1EBD">
        <w:rPr>
          <w:rFonts w:ascii="Cambria" w:hAnsi="Cambria"/>
          <w:sz w:val="20"/>
          <w:szCs w:val="20"/>
        </w:rPr>
        <w:t xml:space="preserve"> lack of prevention</w:t>
      </w:r>
      <w:r w:rsidR="009671DC" w:rsidRPr="00DA1EBD">
        <w:rPr>
          <w:rFonts w:ascii="Cambria" w:hAnsi="Cambria"/>
          <w:sz w:val="20"/>
          <w:szCs w:val="20"/>
        </w:rPr>
        <w:t>, as well as the consequent internal displacement of the inhabitants of Bocas de Aracataca, and the lack of judicial protection, as a result of the events that occurred on February 10 and 11, 2000, could chara</w:t>
      </w:r>
      <w:r w:rsidRPr="00DA1EBD">
        <w:rPr>
          <w:rFonts w:ascii="Cambria" w:hAnsi="Cambria"/>
          <w:sz w:val="20"/>
          <w:szCs w:val="20"/>
        </w:rPr>
        <w:t>cterize violations of A</w:t>
      </w:r>
      <w:r w:rsidR="009671DC" w:rsidRPr="00DA1EBD">
        <w:rPr>
          <w:rFonts w:ascii="Cambria" w:hAnsi="Cambria"/>
          <w:sz w:val="20"/>
          <w:szCs w:val="20"/>
        </w:rPr>
        <w:t>rticles 5 (</w:t>
      </w:r>
      <w:r w:rsidRPr="00DA1EBD">
        <w:rPr>
          <w:rFonts w:ascii="Cambria" w:hAnsi="Cambria"/>
          <w:sz w:val="20"/>
          <w:szCs w:val="20"/>
        </w:rPr>
        <w:t>humane treatment</w:t>
      </w:r>
      <w:r w:rsidR="009671DC" w:rsidRPr="00DA1EBD">
        <w:rPr>
          <w:rFonts w:ascii="Cambria" w:hAnsi="Cambria"/>
          <w:sz w:val="20"/>
          <w:szCs w:val="20"/>
        </w:rPr>
        <w:t>), 8 (</w:t>
      </w:r>
      <w:r w:rsidRPr="00DA1EBD">
        <w:rPr>
          <w:rFonts w:ascii="Cambria" w:hAnsi="Cambria"/>
          <w:sz w:val="20"/>
          <w:szCs w:val="20"/>
        </w:rPr>
        <w:t>fair trial</w:t>
      </w:r>
      <w:r w:rsidR="009671DC" w:rsidRPr="00DA1EBD">
        <w:rPr>
          <w:rFonts w:ascii="Cambria" w:hAnsi="Cambria"/>
          <w:sz w:val="20"/>
          <w:szCs w:val="20"/>
        </w:rPr>
        <w:t>), 17 (</w:t>
      </w:r>
      <w:r w:rsidRPr="00DA1EBD">
        <w:rPr>
          <w:rFonts w:ascii="Cambria" w:hAnsi="Cambria"/>
          <w:sz w:val="20"/>
          <w:szCs w:val="20"/>
        </w:rPr>
        <w:t>rights of the family</w:t>
      </w:r>
      <w:r w:rsidR="009671DC" w:rsidRPr="00DA1EBD">
        <w:rPr>
          <w:rFonts w:ascii="Cambria" w:hAnsi="Cambria"/>
          <w:sz w:val="20"/>
          <w:szCs w:val="20"/>
        </w:rPr>
        <w:t>), 19 (</w:t>
      </w:r>
      <w:r w:rsidRPr="00DA1EBD">
        <w:rPr>
          <w:rFonts w:ascii="Cambria" w:hAnsi="Cambria"/>
          <w:sz w:val="20"/>
          <w:szCs w:val="20"/>
        </w:rPr>
        <w:t>rights of the child)</w:t>
      </w:r>
      <w:r w:rsidR="009671DC" w:rsidRPr="00DA1EBD">
        <w:rPr>
          <w:rFonts w:ascii="Cambria" w:hAnsi="Cambria"/>
          <w:sz w:val="20"/>
          <w:szCs w:val="20"/>
        </w:rPr>
        <w:t xml:space="preserve">, 21 </w:t>
      </w:r>
      <w:r w:rsidR="009671DC" w:rsidRPr="00DA1EBD">
        <w:rPr>
          <w:rFonts w:ascii="Cambria" w:hAnsi="Cambria"/>
          <w:sz w:val="20"/>
          <w:szCs w:val="20"/>
        </w:rPr>
        <w:lastRenderedPageBreak/>
        <w:t>(property), 22 (</w:t>
      </w:r>
      <w:r w:rsidRPr="00DA1EBD">
        <w:rPr>
          <w:rFonts w:ascii="Cambria" w:hAnsi="Cambria"/>
          <w:sz w:val="20"/>
          <w:szCs w:val="20"/>
        </w:rPr>
        <w:t>freedom of movement and residence</w:t>
      </w:r>
      <w:r w:rsidR="009671DC" w:rsidRPr="00DA1EBD">
        <w:rPr>
          <w:rFonts w:ascii="Cambria" w:hAnsi="Cambria"/>
          <w:sz w:val="20"/>
          <w:szCs w:val="20"/>
        </w:rPr>
        <w:t>), 25 (judicial protection) and 26 (</w:t>
      </w:r>
      <w:r w:rsidR="000120ED">
        <w:rPr>
          <w:rFonts w:ascii="Cambria" w:hAnsi="Cambria"/>
          <w:sz w:val="20"/>
          <w:szCs w:val="20"/>
        </w:rPr>
        <w:t>economic, social an cultural rights</w:t>
      </w:r>
      <w:r w:rsidR="009671DC" w:rsidRPr="00DA1EBD">
        <w:rPr>
          <w:rFonts w:ascii="Cambria" w:hAnsi="Cambria"/>
          <w:sz w:val="20"/>
          <w:szCs w:val="20"/>
        </w:rPr>
        <w:t>) of the Amer</w:t>
      </w:r>
      <w:r w:rsidRPr="00DA1EBD">
        <w:rPr>
          <w:rFonts w:ascii="Cambria" w:hAnsi="Cambria"/>
          <w:sz w:val="20"/>
          <w:szCs w:val="20"/>
        </w:rPr>
        <w:t>ican Convention in relation to A</w:t>
      </w:r>
      <w:r w:rsidR="009671DC" w:rsidRPr="00DA1EBD">
        <w:rPr>
          <w:rFonts w:ascii="Cambria" w:hAnsi="Cambria"/>
          <w:sz w:val="20"/>
          <w:szCs w:val="20"/>
        </w:rPr>
        <w:t xml:space="preserve">rticles 1.1 and 2 of the same instrument, </w:t>
      </w:r>
      <w:r w:rsidR="00FE681C" w:rsidRPr="00DA1EBD">
        <w:rPr>
          <w:rFonts w:ascii="Cambria" w:hAnsi="Cambria"/>
          <w:sz w:val="20"/>
          <w:szCs w:val="20"/>
        </w:rPr>
        <w:t>to the detriment of</w:t>
      </w:r>
      <w:r w:rsidR="009671DC" w:rsidRPr="00DA1EBD">
        <w:rPr>
          <w:rFonts w:ascii="Cambria" w:hAnsi="Cambria"/>
          <w:sz w:val="20"/>
          <w:szCs w:val="20"/>
        </w:rPr>
        <w:t xml:space="preserve"> the alleged victims and their relatives.</w:t>
      </w:r>
      <w:r w:rsidR="000120ED">
        <w:rPr>
          <w:rFonts w:ascii="Cambria" w:hAnsi="Cambria"/>
          <w:sz w:val="20"/>
          <w:szCs w:val="20"/>
        </w:rPr>
        <w:t xml:space="preserve"> </w:t>
      </w:r>
      <w:r w:rsidR="000120ED" w:rsidRPr="000120ED">
        <w:rPr>
          <w:rFonts w:ascii="Cambria" w:hAnsi="Cambria"/>
          <w:sz w:val="20"/>
          <w:szCs w:val="20"/>
        </w:rPr>
        <w:t xml:space="preserve">Additionally, </w:t>
      </w:r>
      <w:r w:rsidR="000120ED">
        <w:rPr>
          <w:rFonts w:ascii="Cambria" w:hAnsi="Cambria"/>
          <w:sz w:val="20"/>
          <w:szCs w:val="20"/>
        </w:rPr>
        <w:t>considering</w:t>
      </w:r>
      <w:r w:rsidR="000120ED" w:rsidRPr="000120ED">
        <w:rPr>
          <w:rFonts w:ascii="Cambria" w:hAnsi="Cambria"/>
          <w:sz w:val="20"/>
          <w:szCs w:val="20"/>
        </w:rPr>
        <w:t xml:space="preserve"> the multiple, complex and continuous nature of the displacement of people, in particular that related to the direct effects that derive from it on the rights to free movement and residence, housing and personal integrity as well as uprooting that in </w:t>
      </w:r>
      <w:r w:rsidR="000120ED">
        <w:rPr>
          <w:rFonts w:ascii="Cambria" w:hAnsi="Cambria"/>
          <w:sz w:val="20"/>
          <w:szCs w:val="20"/>
        </w:rPr>
        <w:t>s</w:t>
      </w:r>
      <w:r w:rsidR="000120ED" w:rsidRPr="000120ED">
        <w:rPr>
          <w:rFonts w:ascii="Cambria" w:hAnsi="Cambria"/>
          <w:sz w:val="20"/>
          <w:szCs w:val="20"/>
        </w:rPr>
        <w:t>ocial and cultural terms may be presented, the Commission considers that the allegations related to this phenomenon could characterize possible violations of Articles 5, 22 and 26 of the American Convention in a joint and interconnected manner.</w:t>
      </w:r>
    </w:p>
    <w:p w14:paraId="709C9449" w14:textId="75F889AE" w:rsidR="007D0305" w:rsidRPr="00DA1EBD" w:rsidRDefault="006E0A19"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A1EBD">
        <w:rPr>
          <w:rFonts w:ascii="Cambria" w:hAnsi="Cambria"/>
          <w:sz w:val="20"/>
          <w:szCs w:val="20"/>
        </w:rPr>
        <w:t>With regard to</w:t>
      </w:r>
      <w:r w:rsidR="009671DC" w:rsidRPr="00DA1EBD">
        <w:rPr>
          <w:rFonts w:ascii="Cambria" w:hAnsi="Cambria"/>
          <w:sz w:val="20"/>
          <w:szCs w:val="20"/>
        </w:rPr>
        <w:t xml:space="preserve"> the claim </w:t>
      </w:r>
      <w:r w:rsidRPr="00DA1EBD">
        <w:rPr>
          <w:rFonts w:ascii="Cambria" w:hAnsi="Cambria"/>
          <w:sz w:val="20"/>
          <w:szCs w:val="20"/>
        </w:rPr>
        <w:t>for</w:t>
      </w:r>
      <w:r w:rsidR="009671DC" w:rsidRPr="00DA1EBD">
        <w:rPr>
          <w:rFonts w:ascii="Cambria" w:hAnsi="Cambria"/>
          <w:sz w:val="20"/>
          <w:szCs w:val="20"/>
        </w:rPr>
        <w:t xml:space="preserve"> the alleged violation of Article 27 (suspension of guarantees) of the American Convention, the Commission observes that no information </w:t>
      </w:r>
      <w:r w:rsidRPr="00DA1EBD">
        <w:rPr>
          <w:rFonts w:ascii="Cambria" w:hAnsi="Cambria"/>
          <w:sz w:val="20"/>
          <w:szCs w:val="20"/>
        </w:rPr>
        <w:t xml:space="preserve">has been presented permitting a </w:t>
      </w:r>
      <w:r w:rsidR="009671DC" w:rsidRPr="00DA1EBD">
        <w:rPr>
          <w:rFonts w:ascii="Cambria" w:hAnsi="Cambria"/>
          <w:i/>
          <w:sz w:val="20"/>
          <w:szCs w:val="20"/>
        </w:rPr>
        <w:t>prima facie</w:t>
      </w:r>
      <w:r w:rsidR="009671DC" w:rsidRPr="00DA1EBD">
        <w:rPr>
          <w:rFonts w:ascii="Cambria" w:hAnsi="Cambria"/>
          <w:sz w:val="20"/>
          <w:szCs w:val="20"/>
        </w:rPr>
        <w:t xml:space="preserve"> identification of any content to consider its possible violation.</w:t>
      </w:r>
    </w:p>
    <w:p w14:paraId="5A70550C" w14:textId="77777777" w:rsidR="00F621C3" w:rsidRPr="00DA1EBD" w:rsidRDefault="00F621C3" w:rsidP="00F621C3">
      <w:pPr>
        <w:pStyle w:val="ListParagraph"/>
        <w:spacing w:before="240" w:after="240"/>
        <w:jc w:val="both"/>
        <w:rPr>
          <w:rFonts w:asciiTheme="majorHAnsi" w:hAnsiTheme="majorHAnsi"/>
          <w:b/>
          <w:bCs/>
          <w:sz w:val="20"/>
          <w:szCs w:val="20"/>
        </w:rPr>
      </w:pPr>
      <w:r w:rsidRPr="00DA1EBD">
        <w:rPr>
          <w:rFonts w:asciiTheme="majorHAnsi" w:hAnsiTheme="majorHAnsi"/>
          <w:b/>
          <w:bCs/>
          <w:sz w:val="20"/>
          <w:szCs w:val="20"/>
        </w:rPr>
        <w:t xml:space="preserve">VIII. </w:t>
      </w:r>
      <w:r w:rsidRPr="00DA1EBD">
        <w:rPr>
          <w:rFonts w:asciiTheme="majorHAnsi" w:hAnsiTheme="majorHAnsi"/>
          <w:b/>
          <w:bCs/>
          <w:sz w:val="20"/>
          <w:szCs w:val="20"/>
        </w:rPr>
        <w:tab/>
        <w:t>DECISION</w:t>
      </w:r>
    </w:p>
    <w:p w14:paraId="227B9B6E" w14:textId="34AB67F0" w:rsidR="00F621C3" w:rsidRPr="00DA1EBD"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A1EBD">
        <w:rPr>
          <w:rFonts w:asciiTheme="majorHAnsi" w:hAnsiTheme="majorHAnsi"/>
          <w:sz w:val="20"/>
          <w:szCs w:val="20"/>
        </w:rPr>
        <w:t>To find the instant petition admiss</w:t>
      </w:r>
      <w:r w:rsidR="00826D8C" w:rsidRPr="00DA1EBD">
        <w:rPr>
          <w:rFonts w:asciiTheme="majorHAnsi" w:hAnsiTheme="majorHAnsi"/>
          <w:sz w:val="20"/>
          <w:szCs w:val="20"/>
        </w:rPr>
        <w:t>ible in relation to Articles 4, 5, 7, 8, 17, 19, 21, 22, 25, and 26 in conjunction with its Articles 1.1 and 2 of the American Convention</w:t>
      </w:r>
      <w:r w:rsidRPr="00DA1EBD">
        <w:rPr>
          <w:rFonts w:asciiTheme="majorHAnsi" w:hAnsiTheme="majorHAnsi"/>
          <w:sz w:val="20"/>
          <w:szCs w:val="20"/>
        </w:rPr>
        <w:t>;</w:t>
      </w:r>
      <w:r w:rsidR="00826D8C" w:rsidRPr="00DA1EBD">
        <w:rPr>
          <w:rFonts w:asciiTheme="majorHAnsi" w:hAnsiTheme="majorHAnsi"/>
          <w:sz w:val="20"/>
          <w:szCs w:val="20"/>
        </w:rPr>
        <w:t xml:space="preserve"> and Articles 1, 6, and 8 of the Inter-American Convention to Prevent and Punish Torture;</w:t>
      </w:r>
    </w:p>
    <w:p w14:paraId="7B069E47" w14:textId="50ECA57D" w:rsidR="00F621C3" w:rsidRPr="00DA1EBD" w:rsidRDefault="00F621C3" w:rsidP="00F621C3">
      <w:pPr>
        <w:pStyle w:val="ListParagraph"/>
        <w:numPr>
          <w:ilvl w:val="0"/>
          <w:numId w:val="105"/>
        </w:numPr>
        <w:rPr>
          <w:rFonts w:eastAsia="Arial Unicode MS" w:cs="Times New Roman"/>
          <w:color w:val="auto"/>
          <w:sz w:val="20"/>
          <w:szCs w:val="20"/>
          <w:lang w:eastAsia="en-US"/>
        </w:rPr>
      </w:pPr>
      <w:r w:rsidRPr="00DA1EBD">
        <w:rPr>
          <w:rFonts w:asciiTheme="majorHAnsi" w:hAnsiTheme="majorHAnsi"/>
          <w:sz w:val="20"/>
          <w:szCs w:val="20"/>
        </w:rPr>
        <w:t xml:space="preserve">To find the instant petition </w:t>
      </w:r>
      <w:r w:rsidRPr="000120ED">
        <w:rPr>
          <w:rFonts w:asciiTheme="majorHAnsi" w:hAnsiTheme="majorHAnsi"/>
          <w:color w:val="auto"/>
          <w:sz w:val="20"/>
          <w:szCs w:val="20"/>
        </w:rPr>
        <w:t xml:space="preserve">inadmissible </w:t>
      </w:r>
      <w:r w:rsidRPr="00DA1EBD">
        <w:rPr>
          <w:rFonts w:asciiTheme="majorHAnsi" w:hAnsiTheme="majorHAnsi"/>
          <w:sz w:val="20"/>
          <w:szCs w:val="20"/>
        </w:rPr>
        <w:t>in relation to A</w:t>
      </w:r>
      <w:r w:rsidR="00826D8C" w:rsidRPr="00DA1EBD">
        <w:rPr>
          <w:rFonts w:asciiTheme="majorHAnsi" w:hAnsiTheme="majorHAnsi"/>
          <w:sz w:val="20"/>
          <w:szCs w:val="20"/>
        </w:rPr>
        <w:t>rticle 27 of the American Convention</w:t>
      </w:r>
      <w:r w:rsidRPr="00DA1EBD">
        <w:rPr>
          <w:rFonts w:eastAsia="Arial Unicode MS" w:cs="Times New Roman"/>
          <w:color w:val="auto"/>
          <w:sz w:val="20"/>
          <w:szCs w:val="20"/>
          <w:lang w:eastAsia="en-US"/>
        </w:rPr>
        <w:t>;</w:t>
      </w:r>
      <w:r w:rsidR="001F1902" w:rsidRPr="00DA1EBD">
        <w:rPr>
          <w:rFonts w:eastAsia="Arial Unicode MS" w:cs="Times New Roman"/>
          <w:color w:val="auto"/>
          <w:sz w:val="20"/>
          <w:szCs w:val="20"/>
          <w:lang w:eastAsia="en-US"/>
        </w:rPr>
        <w:t xml:space="preserve"> and</w:t>
      </w:r>
    </w:p>
    <w:p w14:paraId="47F30965" w14:textId="77777777" w:rsidR="00F621C3" w:rsidRPr="00DA1EBD" w:rsidRDefault="00F621C3" w:rsidP="00F621C3">
      <w:pPr>
        <w:pStyle w:val="ListParagraph"/>
        <w:rPr>
          <w:rFonts w:eastAsia="Arial Unicode MS" w:cs="Times New Roman"/>
          <w:color w:val="auto"/>
          <w:sz w:val="20"/>
          <w:szCs w:val="20"/>
          <w:lang w:eastAsia="en-US"/>
        </w:rPr>
      </w:pPr>
    </w:p>
    <w:p w14:paraId="22CC8DDA" w14:textId="51ED6D8B" w:rsidR="00F621C3" w:rsidRPr="00DA1EBD"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A1EBD">
        <w:rPr>
          <w:rFonts w:asciiTheme="majorHAnsi" w:hAnsiTheme="majorHAnsi"/>
          <w:sz w:val="20"/>
          <w:szCs w:val="20"/>
        </w:rPr>
        <w:t>To notify the parties of this decision;</w:t>
      </w:r>
      <w:r w:rsidR="001F1902" w:rsidRPr="00DA1EBD">
        <w:rPr>
          <w:rFonts w:asciiTheme="majorHAnsi" w:hAnsiTheme="majorHAnsi"/>
          <w:sz w:val="20"/>
          <w:szCs w:val="20"/>
        </w:rPr>
        <w:t xml:space="preserve"> t</w:t>
      </w:r>
      <w:r w:rsidRPr="00DA1EBD">
        <w:rPr>
          <w:rFonts w:asciiTheme="majorHAnsi" w:hAnsiTheme="majorHAnsi"/>
          <w:sz w:val="20"/>
          <w:szCs w:val="20"/>
        </w:rPr>
        <w:t xml:space="preserve">o continue with the analysis on the merits; and </w:t>
      </w:r>
      <w:r w:rsidR="001F1902" w:rsidRPr="00DA1EBD">
        <w:rPr>
          <w:rFonts w:asciiTheme="majorHAnsi" w:hAnsiTheme="majorHAnsi"/>
          <w:sz w:val="20"/>
          <w:szCs w:val="20"/>
        </w:rPr>
        <w:t>t</w:t>
      </w:r>
      <w:r w:rsidRPr="00DA1EBD">
        <w:rPr>
          <w:rFonts w:asciiTheme="majorHAnsi" w:hAnsiTheme="majorHAnsi"/>
          <w:sz w:val="20"/>
          <w:szCs w:val="20"/>
        </w:rPr>
        <w:t>o publish this decision and include it in its Annual Report to the General Assembly of the Organization of American States.</w:t>
      </w:r>
    </w:p>
    <w:p w14:paraId="1CE4C35F" w14:textId="4BC7434A" w:rsidR="00D96A9E" w:rsidRPr="00D96A9E" w:rsidRDefault="00D96A9E" w:rsidP="00D96A9E">
      <w:pPr>
        <w:pStyle w:val="ListParagraph"/>
        <w:ind w:left="0"/>
        <w:jc w:val="both"/>
      </w:pPr>
      <w:r>
        <w:rPr>
          <w:sz w:val="20"/>
          <w:szCs w:val="20"/>
        </w:rPr>
        <w:tab/>
      </w:r>
      <w:r w:rsidRPr="00D96A9E">
        <w:rPr>
          <w:sz w:val="20"/>
          <w:szCs w:val="20"/>
        </w:rPr>
        <w:t xml:space="preserve">Approved by the Inter-American Commission on Human Rights on the </w:t>
      </w:r>
      <w:r>
        <w:rPr>
          <w:sz w:val="20"/>
          <w:szCs w:val="20"/>
        </w:rPr>
        <w:t>3</w:t>
      </w:r>
      <w:r w:rsidRPr="00D96A9E">
        <w:rPr>
          <w:sz w:val="20"/>
          <w:szCs w:val="20"/>
          <w:vertAlign w:val="superscript"/>
        </w:rPr>
        <w:t>rd</w:t>
      </w:r>
      <w:r>
        <w:rPr>
          <w:sz w:val="20"/>
          <w:szCs w:val="20"/>
        </w:rPr>
        <w:t xml:space="preserve"> </w:t>
      </w:r>
      <w:r w:rsidRPr="00D96A9E">
        <w:rPr>
          <w:sz w:val="20"/>
          <w:szCs w:val="20"/>
        </w:rPr>
        <w:t xml:space="preserve">day of the month of </w:t>
      </w:r>
      <w:r>
        <w:rPr>
          <w:sz w:val="20"/>
          <w:szCs w:val="20"/>
        </w:rPr>
        <w:t>February</w:t>
      </w:r>
      <w:r w:rsidRPr="00D96A9E">
        <w:rPr>
          <w:sz w:val="20"/>
          <w:szCs w:val="20"/>
        </w:rPr>
        <w:t>, 2019. (Signed):  Margarette May Macaulay, President; Esmeralda E. Arosemena Bernal de Troitiño, First Vice President; Francisco José Eguiguren Praeli, Joel Hernández García, Antonia Urrejola, and Flávia Piovesan, Commissioners.</w:t>
      </w:r>
    </w:p>
    <w:p w14:paraId="1C6AA622" w14:textId="77777777" w:rsidR="00F621C3" w:rsidRPr="00DA1EBD"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Default="00F621C3" w:rsidP="00F621C3">
      <w:pPr>
        <w:tabs>
          <w:tab w:val="center" w:pos="5400"/>
        </w:tabs>
        <w:suppressAutoHyphens/>
        <w:spacing w:line="276" w:lineRule="auto"/>
        <w:rPr>
          <w:rFonts w:asciiTheme="majorHAnsi" w:hAnsiTheme="majorHAnsi"/>
          <w:sz w:val="20"/>
          <w:szCs w:val="20"/>
        </w:rPr>
      </w:pPr>
    </w:p>
    <w:p w14:paraId="5BF70E39" w14:textId="77777777" w:rsidR="00CA38DB" w:rsidRDefault="00CA38DB" w:rsidP="00F621C3">
      <w:pPr>
        <w:tabs>
          <w:tab w:val="center" w:pos="5400"/>
        </w:tabs>
        <w:suppressAutoHyphens/>
        <w:spacing w:line="276" w:lineRule="auto"/>
        <w:rPr>
          <w:rFonts w:asciiTheme="majorHAnsi" w:hAnsiTheme="majorHAnsi"/>
          <w:sz w:val="20"/>
          <w:szCs w:val="20"/>
        </w:rPr>
      </w:pPr>
    </w:p>
    <w:p w14:paraId="2FE97B85" w14:textId="77777777" w:rsidR="00CA38DB" w:rsidRDefault="00CA38DB" w:rsidP="00F621C3">
      <w:pPr>
        <w:tabs>
          <w:tab w:val="center" w:pos="5400"/>
        </w:tabs>
        <w:suppressAutoHyphens/>
        <w:spacing w:line="276" w:lineRule="auto"/>
        <w:rPr>
          <w:rFonts w:asciiTheme="majorHAnsi" w:hAnsiTheme="majorHAnsi"/>
          <w:sz w:val="20"/>
          <w:szCs w:val="20"/>
        </w:rPr>
      </w:pPr>
    </w:p>
    <w:p w14:paraId="2B347CDA" w14:textId="77777777" w:rsidR="00CA38DB" w:rsidRDefault="00CA38DB" w:rsidP="00F621C3">
      <w:pPr>
        <w:tabs>
          <w:tab w:val="center" w:pos="5400"/>
        </w:tabs>
        <w:suppressAutoHyphens/>
        <w:spacing w:line="276" w:lineRule="auto"/>
        <w:rPr>
          <w:rFonts w:asciiTheme="majorHAnsi" w:hAnsiTheme="majorHAnsi"/>
          <w:sz w:val="20"/>
          <w:szCs w:val="20"/>
        </w:rPr>
      </w:pPr>
    </w:p>
    <w:p w14:paraId="17A68161" w14:textId="77777777" w:rsidR="00CA38DB" w:rsidRDefault="00CA38DB" w:rsidP="00F621C3">
      <w:pPr>
        <w:tabs>
          <w:tab w:val="center" w:pos="5400"/>
        </w:tabs>
        <w:suppressAutoHyphens/>
        <w:spacing w:line="276" w:lineRule="auto"/>
        <w:rPr>
          <w:rFonts w:asciiTheme="majorHAnsi" w:hAnsiTheme="majorHAnsi"/>
          <w:sz w:val="20"/>
          <w:szCs w:val="20"/>
        </w:rPr>
      </w:pPr>
    </w:p>
    <w:p w14:paraId="69BE12F8" w14:textId="77777777" w:rsidR="00CA38DB" w:rsidRDefault="00CA38DB" w:rsidP="00F621C3">
      <w:pPr>
        <w:tabs>
          <w:tab w:val="center" w:pos="5400"/>
        </w:tabs>
        <w:suppressAutoHyphens/>
        <w:spacing w:line="276" w:lineRule="auto"/>
        <w:rPr>
          <w:rFonts w:asciiTheme="majorHAnsi" w:hAnsiTheme="majorHAnsi"/>
          <w:sz w:val="20"/>
          <w:szCs w:val="20"/>
        </w:rPr>
      </w:pPr>
    </w:p>
    <w:p w14:paraId="3BEA9ECB" w14:textId="77777777" w:rsidR="00CA38DB" w:rsidRDefault="00CA38DB" w:rsidP="00F621C3">
      <w:pPr>
        <w:tabs>
          <w:tab w:val="center" w:pos="5400"/>
        </w:tabs>
        <w:suppressAutoHyphens/>
        <w:spacing w:line="276" w:lineRule="auto"/>
        <w:rPr>
          <w:rFonts w:asciiTheme="majorHAnsi" w:hAnsiTheme="majorHAnsi"/>
          <w:sz w:val="20"/>
          <w:szCs w:val="20"/>
        </w:rPr>
      </w:pPr>
    </w:p>
    <w:p w14:paraId="32DA9E66" w14:textId="77777777" w:rsidR="00CA38DB" w:rsidRDefault="00CA38DB" w:rsidP="00F621C3">
      <w:pPr>
        <w:tabs>
          <w:tab w:val="center" w:pos="5400"/>
        </w:tabs>
        <w:suppressAutoHyphens/>
        <w:spacing w:line="276" w:lineRule="auto"/>
        <w:rPr>
          <w:rFonts w:asciiTheme="majorHAnsi" w:hAnsiTheme="majorHAnsi"/>
          <w:sz w:val="20"/>
          <w:szCs w:val="20"/>
        </w:rPr>
      </w:pPr>
    </w:p>
    <w:p w14:paraId="07FB81EE" w14:textId="77777777" w:rsidR="00CA38DB" w:rsidRDefault="00CA38DB" w:rsidP="00F621C3">
      <w:pPr>
        <w:tabs>
          <w:tab w:val="center" w:pos="5400"/>
        </w:tabs>
        <w:suppressAutoHyphens/>
        <w:spacing w:line="276" w:lineRule="auto"/>
        <w:rPr>
          <w:rFonts w:asciiTheme="majorHAnsi" w:hAnsiTheme="majorHAnsi"/>
          <w:sz w:val="20"/>
          <w:szCs w:val="20"/>
        </w:rPr>
      </w:pPr>
    </w:p>
    <w:p w14:paraId="56B436E4" w14:textId="77777777" w:rsidR="00CA38DB" w:rsidRDefault="00CA38DB" w:rsidP="00F621C3">
      <w:pPr>
        <w:tabs>
          <w:tab w:val="center" w:pos="5400"/>
        </w:tabs>
        <w:suppressAutoHyphens/>
        <w:spacing w:line="276" w:lineRule="auto"/>
        <w:rPr>
          <w:rFonts w:asciiTheme="majorHAnsi" w:hAnsiTheme="majorHAnsi"/>
          <w:sz w:val="20"/>
          <w:szCs w:val="20"/>
        </w:rPr>
      </w:pPr>
    </w:p>
    <w:p w14:paraId="5AAAA1D7" w14:textId="77777777" w:rsidR="00CA38DB" w:rsidRDefault="00CA38DB" w:rsidP="00F621C3">
      <w:pPr>
        <w:tabs>
          <w:tab w:val="center" w:pos="5400"/>
        </w:tabs>
        <w:suppressAutoHyphens/>
        <w:spacing w:line="276" w:lineRule="auto"/>
        <w:rPr>
          <w:rFonts w:asciiTheme="majorHAnsi" w:hAnsiTheme="majorHAnsi"/>
          <w:sz w:val="20"/>
          <w:szCs w:val="20"/>
        </w:rPr>
      </w:pPr>
    </w:p>
    <w:p w14:paraId="5F0FAD37" w14:textId="77777777" w:rsidR="00CA38DB" w:rsidRDefault="00CA38DB" w:rsidP="00F621C3">
      <w:pPr>
        <w:tabs>
          <w:tab w:val="center" w:pos="5400"/>
        </w:tabs>
        <w:suppressAutoHyphens/>
        <w:spacing w:line="276" w:lineRule="auto"/>
        <w:rPr>
          <w:rFonts w:asciiTheme="majorHAnsi" w:hAnsiTheme="majorHAnsi"/>
          <w:sz w:val="20"/>
          <w:szCs w:val="20"/>
        </w:rPr>
      </w:pPr>
    </w:p>
    <w:p w14:paraId="7774F756" w14:textId="77777777" w:rsidR="00CA38DB" w:rsidRDefault="00CA38DB" w:rsidP="00F621C3">
      <w:pPr>
        <w:tabs>
          <w:tab w:val="center" w:pos="5400"/>
        </w:tabs>
        <w:suppressAutoHyphens/>
        <w:spacing w:line="276" w:lineRule="auto"/>
        <w:rPr>
          <w:rFonts w:asciiTheme="majorHAnsi" w:hAnsiTheme="majorHAnsi"/>
          <w:sz w:val="20"/>
          <w:szCs w:val="20"/>
        </w:rPr>
      </w:pPr>
    </w:p>
    <w:p w14:paraId="5D418EB5" w14:textId="77777777" w:rsidR="00CA38DB" w:rsidRDefault="00CA38DB" w:rsidP="00F621C3">
      <w:pPr>
        <w:tabs>
          <w:tab w:val="center" w:pos="5400"/>
        </w:tabs>
        <w:suppressAutoHyphens/>
        <w:spacing w:line="276" w:lineRule="auto"/>
        <w:rPr>
          <w:rFonts w:asciiTheme="majorHAnsi" w:hAnsiTheme="majorHAnsi"/>
          <w:sz w:val="20"/>
          <w:szCs w:val="20"/>
        </w:rPr>
      </w:pPr>
    </w:p>
    <w:p w14:paraId="370CA852" w14:textId="77777777" w:rsidR="00CA38DB" w:rsidRDefault="00CA38DB" w:rsidP="00F621C3">
      <w:pPr>
        <w:tabs>
          <w:tab w:val="center" w:pos="5400"/>
        </w:tabs>
        <w:suppressAutoHyphens/>
        <w:spacing w:line="276" w:lineRule="auto"/>
        <w:rPr>
          <w:rFonts w:asciiTheme="majorHAnsi" w:hAnsiTheme="majorHAnsi"/>
          <w:sz w:val="20"/>
          <w:szCs w:val="20"/>
        </w:rPr>
      </w:pPr>
    </w:p>
    <w:p w14:paraId="7BA22136" w14:textId="77777777" w:rsidR="00CA38DB" w:rsidRDefault="00CA38DB" w:rsidP="00F621C3">
      <w:pPr>
        <w:tabs>
          <w:tab w:val="center" w:pos="5400"/>
        </w:tabs>
        <w:suppressAutoHyphens/>
        <w:spacing w:line="276" w:lineRule="auto"/>
        <w:rPr>
          <w:rFonts w:asciiTheme="majorHAnsi" w:hAnsiTheme="majorHAnsi"/>
          <w:sz w:val="20"/>
          <w:szCs w:val="20"/>
        </w:rPr>
      </w:pPr>
    </w:p>
    <w:p w14:paraId="15E10324" w14:textId="77777777" w:rsidR="00CA38DB" w:rsidRDefault="00CA38DB" w:rsidP="00F621C3">
      <w:pPr>
        <w:tabs>
          <w:tab w:val="center" w:pos="5400"/>
        </w:tabs>
        <w:suppressAutoHyphens/>
        <w:spacing w:line="276" w:lineRule="auto"/>
        <w:rPr>
          <w:rFonts w:asciiTheme="majorHAnsi" w:hAnsiTheme="majorHAnsi"/>
          <w:sz w:val="20"/>
          <w:szCs w:val="20"/>
        </w:rPr>
      </w:pPr>
    </w:p>
    <w:p w14:paraId="74422C8E" w14:textId="77777777" w:rsidR="00CA38DB" w:rsidRDefault="00CA38DB" w:rsidP="00F621C3">
      <w:pPr>
        <w:tabs>
          <w:tab w:val="center" w:pos="5400"/>
        </w:tabs>
        <w:suppressAutoHyphens/>
        <w:spacing w:line="276" w:lineRule="auto"/>
        <w:rPr>
          <w:rFonts w:asciiTheme="majorHAnsi" w:hAnsiTheme="majorHAnsi"/>
          <w:sz w:val="20"/>
          <w:szCs w:val="20"/>
        </w:rPr>
      </w:pPr>
    </w:p>
    <w:p w14:paraId="29B4316F" w14:textId="77777777" w:rsidR="00CA38DB" w:rsidRDefault="00CA38DB" w:rsidP="00F621C3">
      <w:pPr>
        <w:tabs>
          <w:tab w:val="center" w:pos="5400"/>
        </w:tabs>
        <w:suppressAutoHyphens/>
        <w:spacing w:line="276" w:lineRule="auto"/>
        <w:rPr>
          <w:rFonts w:asciiTheme="majorHAnsi" w:hAnsiTheme="majorHAnsi"/>
          <w:sz w:val="20"/>
          <w:szCs w:val="20"/>
        </w:rPr>
      </w:pPr>
    </w:p>
    <w:p w14:paraId="702423AF" w14:textId="71679C18" w:rsidR="00826D8C" w:rsidRPr="00DA1EBD" w:rsidRDefault="00826D8C" w:rsidP="00826D8C">
      <w:pPr>
        <w:jc w:val="center"/>
        <w:rPr>
          <w:rFonts w:ascii="Cambria" w:hAnsi="Cambria" w:cs="Calibri"/>
          <w:b/>
          <w:sz w:val="20"/>
          <w:szCs w:val="20"/>
        </w:rPr>
      </w:pPr>
      <w:r w:rsidRPr="00DA1EBD">
        <w:rPr>
          <w:rFonts w:ascii="Cambria" w:hAnsi="Cambria" w:cs="Calibri"/>
          <w:b/>
          <w:sz w:val="20"/>
          <w:szCs w:val="20"/>
        </w:rPr>
        <w:lastRenderedPageBreak/>
        <w:t>Annex 1</w:t>
      </w:r>
    </w:p>
    <w:p w14:paraId="3579D222" w14:textId="4ED1F702" w:rsidR="00826D8C" w:rsidRPr="00DA1EBD" w:rsidRDefault="00826D8C" w:rsidP="00826D8C">
      <w:pPr>
        <w:jc w:val="center"/>
        <w:rPr>
          <w:rFonts w:ascii="Cambria" w:hAnsi="Cambria" w:cs="Calibri"/>
          <w:b/>
          <w:sz w:val="20"/>
          <w:szCs w:val="20"/>
        </w:rPr>
      </w:pPr>
      <w:r w:rsidRPr="00DA1EBD">
        <w:rPr>
          <w:rFonts w:ascii="Cambria" w:hAnsi="Cambria" w:cs="Calibri"/>
          <w:b/>
          <w:sz w:val="20"/>
          <w:szCs w:val="20"/>
        </w:rPr>
        <w:t>List of Alleged Victims</w:t>
      </w:r>
    </w:p>
    <w:p w14:paraId="1D7F2903" w14:textId="77777777" w:rsidR="00826D8C" w:rsidRPr="00DA1EBD" w:rsidRDefault="00826D8C" w:rsidP="00826D8C">
      <w:pPr>
        <w:rPr>
          <w:rFonts w:ascii="Cambria" w:hAnsi="Cambria" w:cs="Calibri"/>
          <w:sz w:val="20"/>
          <w:szCs w:val="20"/>
        </w:rPr>
      </w:pPr>
    </w:p>
    <w:p w14:paraId="32551695" w14:textId="77777777" w:rsidR="00826D8C" w:rsidRPr="00DA1EBD" w:rsidRDefault="00826D8C" w:rsidP="00826D8C">
      <w:pPr>
        <w:rPr>
          <w:rFonts w:ascii="Cambria" w:hAnsi="Cambria" w:cs="Calibri"/>
          <w:sz w:val="20"/>
          <w:szCs w:val="20"/>
        </w:rPr>
      </w:pPr>
    </w:p>
    <w:p w14:paraId="05501857" w14:textId="77777777" w:rsidR="00826D8C" w:rsidRPr="00DA1EBD" w:rsidRDefault="00826D8C" w:rsidP="00826D8C">
      <w:pPr>
        <w:rPr>
          <w:rFonts w:ascii="Cambria" w:hAnsi="Cambria" w:cs="Calibri"/>
          <w:sz w:val="20"/>
          <w:szCs w:val="20"/>
        </w:rPr>
      </w:pPr>
    </w:p>
    <w:p w14:paraId="6CC27CA6" w14:textId="60B3DB24" w:rsidR="00826D8C" w:rsidRPr="00DA1EBD" w:rsidRDefault="00826D8C" w:rsidP="00826D8C">
      <w:pPr>
        <w:rPr>
          <w:rFonts w:ascii="Cambria" w:hAnsi="Cambria" w:cs="Calibri"/>
          <w:b/>
          <w:sz w:val="20"/>
          <w:szCs w:val="20"/>
        </w:rPr>
      </w:pPr>
      <w:r w:rsidRPr="00DA1EBD">
        <w:rPr>
          <w:rFonts w:ascii="Cambria" w:hAnsi="Cambria" w:cs="Calibri"/>
          <w:b/>
          <w:sz w:val="20"/>
          <w:szCs w:val="20"/>
        </w:rPr>
        <w:t>Alleged Deceased Victims</w:t>
      </w:r>
    </w:p>
    <w:p w14:paraId="7C34CB3C" w14:textId="77777777" w:rsidR="00826D8C" w:rsidRPr="00DA1EBD" w:rsidRDefault="00826D8C" w:rsidP="00826D8C">
      <w:pPr>
        <w:rPr>
          <w:rFonts w:ascii="Cambria" w:hAnsi="Cambria" w:cs="Calibri"/>
          <w:b/>
          <w:sz w:val="20"/>
          <w:szCs w:val="20"/>
        </w:rPr>
      </w:pPr>
    </w:p>
    <w:p w14:paraId="1065C266" w14:textId="77777777" w:rsidR="00826D8C" w:rsidRPr="00DA1EBD" w:rsidRDefault="00826D8C" w:rsidP="00826D8C">
      <w:pPr>
        <w:pStyle w:val="ListParagraph"/>
        <w:numPr>
          <w:ilvl w:val="0"/>
          <w:numId w:val="106"/>
        </w:numPr>
        <w:ind w:left="360" w:firstLine="360"/>
        <w:jc w:val="both"/>
        <w:rPr>
          <w:rFonts w:cs="Calibri"/>
          <w:sz w:val="20"/>
          <w:szCs w:val="20"/>
        </w:rPr>
      </w:pPr>
      <w:r w:rsidRPr="00DA1EBD">
        <w:rPr>
          <w:rFonts w:cs="Calibri"/>
          <w:sz w:val="20"/>
          <w:szCs w:val="20"/>
        </w:rPr>
        <w:t>Abel Antonio Cantillo Moreno</w:t>
      </w:r>
    </w:p>
    <w:p w14:paraId="2ADF7170" w14:textId="77777777" w:rsidR="00826D8C" w:rsidRPr="00DA1EBD" w:rsidRDefault="00826D8C" w:rsidP="00826D8C">
      <w:pPr>
        <w:pStyle w:val="ListParagraph"/>
        <w:numPr>
          <w:ilvl w:val="0"/>
          <w:numId w:val="106"/>
        </w:numPr>
        <w:ind w:left="360" w:firstLine="360"/>
        <w:jc w:val="both"/>
        <w:rPr>
          <w:rFonts w:cs="Calibri"/>
          <w:sz w:val="20"/>
          <w:szCs w:val="20"/>
        </w:rPr>
      </w:pPr>
      <w:r w:rsidRPr="00DA1EBD">
        <w:rPr>
          <w:rFonts w:cs="Calibri"/>
          <w:sz w:val="20"/>
          <w:szCs w:val="20"/>
        </w:rPr>
        <w:t xml:space="preserve">Adolfo Rafael Moreno Lara </w:t>
      </w:r>
    </w:p>
    <w:p w14:paraId="590F99DF" w14:textId="77777777" w:rsidR="00826D8C" w:rsidRPr="00DA1EBD" w:rsidRDefault="00826D8C" w:rsidP="00826D8C">
      <w:pPr>
        <w:pStyle w:val="ListParagraph"/>
        <w:numPr>
          <w:ilvl w:val="0"/>
          <w:numId w:val="106"/>
        </w:numPr>
        <w:ind w:left="360" w:firstLine="360"/>
        <w:jc w:val="both"/>
        <w:rPr>
          <w:rFonts w:cs="Calibri"/>
          <w:sz w:val="20"/>
          <w:szCs w:val="20"/>
        </w:rPr>
      </w:pPr>
      <w:r w:rsidRPr="00DA1EBD">
        <w:rPr>
          <w:rFonts w:cs="Calibri"/>
          <w:sz w:val="20"/>
          <w:szCs w:val="20"/>
        </w:rPr>
        <w:t>Ángel Segundo Rodríguez Samper</w:t>
      </w:r>
    </w:p>
    <w:p w14:paraId="468EE517" w14:textId="77777777" w:rsidR="00826D8C" w:rsidRPr="00DA1EBD" w:rsidRDefault="00826D8C" w:rsidP="00826D8C">
      <w:pPr>
        <w:pStyle w:val="ListParagraph"/>
        <w:numPr>
          <w:ilvl w:val="0"/>
          <w:numId w:val="106"/>
        </w:numPr>
        <w:ind w:left="360" w:firstLine="360"/>
        <w:jc w:val="both"/>
        <w:rPr>
          <w:rFonts w:cs="Calibri"/>
          <w:sz w:val="20"/>
          <w:szCs w:val="20"/>
        </w:rPr>
      </w:pPr>
      <w:r w:rsidRPr="00DA1EBD">
        <w:rPr>
          <w:rFonts w:cs="Calibri"/>
          <w:sz w:val="20"/>
          <w:szCs w:val="20"/>
        </w:rPr>
        <w:t>Anuar Samper Miranda</w:t>
      </w:r>
    </w:p>
    <w:p w14:paraId="72F77E77" w14:textId="77777777" w:rsidR="00826D8C" w:rsidRPr="00DA1EBD" w:rsidRDefault="00826D8C" w:rsidP="00826D8C">
      <w:pPr>
        <w:pStyle w:val="ListParagraph"/>
        <w:numPr>
          <w:ilvl w:val="0"/>
          <w:numId w:val="106"/>
        </w:numPr>
        <w:ind w:left="360" w:firstLine="360"/>
        <w:jc w:val="both"/>
        <w:rPr>
          <w:rFonts w:cs="Calibri"/>
          <w:sz w:val="20"/>
          <w:szCs w:val="20"/>
        </w:rPr>
      </w:pPr>
      <w:r w:rsidRPr="00DA1EBD">
        <w:rPr>
          <w:rFonts w:cs="Calibri"/>
          <w:sz w:val="20"/>
          <w:szCs w:val="20"/>
        </w:rPr>
        <w:t>Emer Enrique Cantillo Moreno</w:t>
      </w:r>
    </w:p>
    <w:p w14:paraId="1BBB96A4" w14:textId="77777777" w:rsidR="00826D8C" w:rsidRPr="00DA1EBD" w:rsidRDefault="00826D8C" w:rsidP="00826D8C">
      <w:pPr>
        <w:pStyle w:val="ListParagraph"/>
        <w:numPr>
          <w:ilvl w:val="0"/>
          <w:numId w:val="106"/>
        </w:numPr>
        <w:ind w:left="360" w:firstLine="360"/>
        <w:jc w:val="both"/>
        <w:rPr>
          <w:rFonts w:cs="Calibri"/>
          <w:sz w:val="20"/>
          <w:szCs w:val="20"/>
        </w:rPr>
      </w:pPr>
      <w:r w:rsidRPr="00DA1EBD">
        <w:rPr>
          <w:rFonts w:cs="Calibri"/>
          <w:sz w:val="20"/>
          <w:szCs w:val="20"/>
        </w:rPr>
        <w:t>Gabriel Enrique Moreno Garizabalo</w:t>
      </w:r>
    </w:p>
    <w:p w14:paraId="068ECB5A" w14:textId="77777777" w:rsidR="00826D8C" w:rsidRPr="00DA1EBD" w:rsidRDefault="00826D8C" w:rsidP="00826D8C">
      <w:pPr>
        <w:pStyle w:val="ListParagraph"/>
        <w:numPr>
          <w:ilvl w:val="0"/>
          <w:numId w:val="106"/>
        </w:numPr>
        <w:ind w:left="360" w:firstLine="360"/>
        <w:jc w:val="both"/>
        <w:rPr>
          <w:rFonts w:cs="Calibri"/>
          <w:sz w:val="20"/>
          <w:szCs w:val="20"/>
        </w:rPr>
      </w:pPr>
      <w:r w:rsidRPr="00DA1EBD">
        <w:rPr>
          <w:rFonts w:cs="Calibri"/>
          <w:sz w:val="20"/>
          <w:szCs w:val="20"/>
        </w:rPr>
        <w:t>Juan Pablo Moreno Borre</w:t>
      </w:r>
    </w:p>
    <w:p w14:paraId="2F1BF0E5" w14:textId="77777777" w:rsidR="00826D8C" w:rsidRPr="00DA1EBD" w:rsidRDefault="00826D8C" w:rsidP="00826D8C">
      <w:pPr>
        <w:pStyle w:val="ListParagraph"/>
        <w:numPr>
          <w:ilvl w:val="0"/>
          <w:numId w:val="106"/>
        </w:numPr>
        <w:ind w:left="360" w:firstLine="360"/>
        <w:jc w:val="both"/>
        <w:rPr>
          <w:rFonts w:cs="Calibri"/>
          <w:sz w:val="20"/>
          <w:szCs w:val="20"/>
        </w:rPr>
      </w:pPr>
      <w:r w:rsidRPr="00DA1EBD">
        <w:rPr>
          <w:rFonts w:cs="Calibri"/>
          <w:sz w:val="20"/>
          <w:szCs w:val="20"/>
        </w:rPr>
        <w:t>Luis Carlos Cantillo Bravo</w:t>
      </w:r>
    </w:p>
    <w:p w14:paraId="5DF559AE" w14:textId="77777777" w:rsidR="00826D8C" w:rsidRPr="00DA1EBD" w:rsidRDefault="00826D8C" w:rsidP="00826D8C">
      <w:pPr>
        <w:pStyle w:val="ListParagraph"/>
        <w:numPr>
          <w:ilvl w:val="0"/>
          <w:numId w:val="106"/>
        </w:numPr>
        <w:ind w:left="360" w:firstLine="360"/>
        <w:jc w:val="both"/>
        <w:rPr>
          <w:rFonts w:cs="Calibri"/>
          <w:sz w:val="20"/>
          <w:szCs w:val="20"/>
        </w:rPr>
      </w:pPr>
      <w:r w:rsidRPr="00DA1EBD">
        <w:rPr>
          <w:rFonts w:cs="Calibri"/>
          <w:sz w:val="20"/>
          <w:szCs w:val="20"/>
        </w:rPr>
        <w:t>Pedro Celestino Pacheco Camargo</w:t>
      </w:r>
    </w:p>
    <w:p w14:paraId="287E55E8" w14:textId="77777777" w:rsidR="00826D8C" w:rsidRPr="00DA1EBD" w:rsidRDefault="00826D8C" w:rsidP="00826D8C">
      <w:pPr>
        <w:pStyle w:val="ListParagraph"/>
        <w:numPr>
          <w:ilvl w:val="0"/>
          <w:numId w:val="106"/>
        </w:numPr>
        <w:ind w:left="360" w:firstLine="360"/>
        <w:jc w:val="both"/>
        <w:rPr>
          <w:rFonts w:cs="Calibri"/>
          <w:sz w:val="20"/>
          <w:szCs w:val="20"/>
        </w:rPr>
      </w:pPr>
      <w:r w:rsidRPr="00DA1EBD">
        <w:rPr>
          <w:rFonts w:cs="Calibri"/>
          <w:sz w:val="20"/>
          <w:szCs w:val="20"/>
        </w:rPr>
        <w:t>Arturo Enrique Pacheco Niebles</w:t>
      </w:r>
    </w:p>
    <w:p w14:paraId="11B27C20" w14:textId="77777777" w:rsidR="00826D8C" w:rsidRPr="00DA1EBD" w:rsidRDefault="00826D8C" w:rsidP="00826D8C">
      <w:pPr>
        <w:pStyle w:val="ListParagraph"/>
        <w:jc w:val="both"/>
        <w:rPr>
          <w:rFonts w:cs="Calibri"/>
          <w:sz w:val="20"/>
          <w:szCs w:val="20"/>
        </w:rPr>
      </w:pPr>
    </w:p>
    <w:p w14:paraId="07509F1C" w14:textId="77777777" w:rsidR="00826D8C" w:rsidRPr="00DA1EBD" w:rsidRDefault="00826D8C" w:rsidP="00826D8C">
      <w:pPr>
        <w:jc w:val="both"/>
        <w:rPr>
          <w:rFonts w:cs="Calibri"/>
          <w:sz w:val="20"/>
          <w:szCs w:val="20"/>
        </w:rPr>
      </w:pPr>
    </w:p>
    <w:p w14:paraId="3AF4B396" w14:textId="77777777" w:rsidR="00826D8C" w:rsidRPr="00DA1EBD" w:rsidRDefault="00826D8C" w:rsidP="00826D8C">
      <w:pPr>
        <w:jc w:val="both"/>
        <w:rPr>
          <w:rFonts w:cs="Calibri"/>
          <w:sz w:val="20"/>
          <w:szCs w:val="20"/>
        </w:rPr>
      </w:pPr>
    </w:p>
    <w:p w14:paraId="589A6718" w14:textId="409A05AA" w:rsidR="00826D8C" w:rsidRPr="00DA1EBD" w:rsidRDefault="00826D8C" w:rsidP="00826D8C">
      <w:pPr>
        <w:jc w:val="center"/>
        <w:rPr>
          <w:rFonts w:asciiTheme="majorHAnsi" w:hAnsiTheme="majorHAnsi" w:cs="Calibri"/>
          <w:b/>
          <w:sz w:val="20"/>
          <w:szCs w:val="20"/>
        </w:rPr>
      </w:pPr>
      <w:r w:rsidRPr="00DA1EBD">
        <w:rPr>
          <w:rFonts w:asciiTheme="majorHAnsi" w:hAnsiTheme="majorHAnsi" w:cs="Calibri"/>
          <w:b/>
          <w:sz w:val="20"/>
          <w:szCs w:val="20"/>
        </w:rPr>
        <w:t>Annex 2</w:t>
      </w:r>
    </w:p>
    <w:p w14:paraId="7FE973D1" w14:textId="5200D341" w:rsidR="00F621C3" w:rsidRPr="00DA1EBD" w:rsidRDefault="00826D8C" w:rsidP="00826D8C">
      <w:pPr>
        <w:tabs>
          <w:tab w:val="center" w:pos="5400"/>
        </w:tabs>
        <w:suppressAutoHyphens/>
        <w:spacing w:line="276" w:lineRule="auto"/>
        <w:rPr>
          <w:rFonts w:asciiTheme="majorHAnsi" w:hAnsiTheme="majorHAnsi"/>
          <w:sz w:val="20"/>
          <w:szCs w:val="20"/>
        </w:rPr>
      </w:pPr>
      <w:r w:rsidRPr="00DA1EBD">
        <w:rPr>
          <w:rFonts w:asciiTheme="majorHAnsi" w:hAnsiTheme="majorHAnsi" w:cs="Calibri"/>
          <w:b/>
          <w:sz w:val="20"/>
          <w:szCs w:val="20"/>
        </w:rPr>
        <w:t>List supplied by the petitioner including approximately 1,000 alleged victims of forced displacement.</w:t>
      </w:r>
    </w:p>
    <w:p w14:paraId="3A0D0918" w14:textId="77777777" w:rsidR="00F621C3" w:rsidRPr="00DA1EBD" w:rsidRDefault="00F621C3" w:rsidP="00F621C3">
      <w:pPr>
        <w:rPr>
          <w:rFonts w:ascii="Cambria" w:hAnsi="Cambria" w:cs="Calibri"/>
          <w:sz w:val="20"/>
          <w:szCs w:val="20"/>
        </w:rPr>
      </w:pPr>
    </w:p>
    <w:p w14:paraId="2122B46A" w14:textId="77777777" w:rsidR="00C55560" w:rsidRPr="00DA1EBD" w:rsidRDefault="00C55560" w:rsidP="00230163">
      <w:pPr>
        <w:tabs>
          <w:tab w:val="left" w:pos="2820"/>
        </w:tabs>
        <w:suppressAutoHyphens/>
        <w:spacing w:line="276" w:lineRule="auto"/>
        <w:rPr>
          <w:rFonts w:asciiTheme="majorHAnsi" w:hAnsiTheme="majorHAnsi"/>
          <w:sz w:val="20"/>
          <w:szCs w:val="20"/>
        </w:rPr>
      </w:pPr>
    </w:p>
    <w:sectPr w:rsidR="00C55560" w:rsidRPr="00DA1EBD"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363D2" w14:textId="77777777" w:rsidR="00145145" w:rsidRDefault="00145145" w:rsidP="00036A8A">
      <w:r>
        <w:separator/>
      </w:r>
    </w:p>
  </w:endnote>
  <w:endnote w:type="continuationSeparator" w:id="0">
    <w:p w14:paraId="574BF4B0" w14:textId="77777777" w:rsidR="00145145" w:rsidRDefault="0014514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E945B" w14:textId="77777777" w:rsidR="003E48C3" w:rsidRDefault="003E48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485A3E" w:rsidRPr="006311DA" w:rsidRDefault="00485A3E">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E48C3">
          <w:rPr>
            <w:noProof/>
            <w:sz w:val="16"/>
          </w:rPr>
          <w:t>3</w:t>
        </w:r>
        <w:r w:rsidRPr="006311DA">
          <w:rPr>
            <w:noProof/>
            <w:sz w:val="16"/>
          </w:rPr>
          <w:fldChar w:fldCharType="end"/>
        </w:r>
      </w:p>
    </w:sdtContent>
  </w:sdt>
  <w:p w14:paraId="767961CB" w14:textId="77777777" w:rsidR="00485A3E" w:rsidRDefault="00485A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485A3E" w:rsidRDefault="00485A3E">
    <w:pPr>
      <w:pStyle w:val="Footer"/>
      <w:jc w:val="center"/>
    </w:pPr>
  </w:p>
  <w:p w14:paraId="2699B8C1" w14:textId="77777777" w:rsidR="00485A3E" w:rsidRDefault="00485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4DD7E" w14:textId="77777777" w:rsidR="00145145" w:rsidRPr="00036A8A" w:rsidRDefault="0014514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37E1522" w14:textId="77777777" w:rsidR="00145145" w:rsidRPr="00036A8A" w:rsidRDefault="00145145" w:rsidP="00036A8A">
      <w:pPr>
        <w:rPr>
          <w:rFonts w:asciiTheme="majorHAnsi" w:hAnsiTheme="majorHAnsi"/>
          <w:sz w:val="16"/>
          <w:szCs w:val="16"/>
        </w:rPr>
      </w:pPr>
      <w:r w:rsidRPr="00036A8A">
        <w:rPr>
          <w:rFonts w:asciiTheme="majorHAnsi" w:hAnsiTheme="majorHAnsi"/>
          <w:sz w:val="16"/>
          <w:szCs w:val="16"/>
        </w:rPr>
        <w:separator/>
      </w:r>
    </w:p>
    <w:p w14:paraId="16FD7286" w14:textId="77777777" w:rsidR="00145145" w:rsidRPr="00036A8A" w:rsidRDefault="0014514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0F3AF305" w14:textId="77777777" w:rsidR="00145145" w:rsidRPr="0093441A" w:rsidRDefault="00145145"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74E4D496" w14:textId="723B9958" w:rsidR="00485A3E" w:rsidRPr="00DA1EBD" w:rsidRDefault="00485A3E" w:rsidP="00F45922">
      <w:pPr>
        <w:pStyle w:val="FootnoteText"/>
        <w:spacing w:before="120"/>
        <w:ind w:firstLine="720"/>
        <w:jc w:val="both"/>
      </w:pPr>
      <w:r w:rsidRPr="00DA1EBD">
        <w:rPr>
          <w:rStyle w:val="FootnoteReference"/>
        </w:rPr>
        <w:footnoteRef/>
      </w:r>
      <w:r w:rsidRPr="00DA1EBD">
        <w:t xml:space="preserve"> </w:t>
      </w:r>
      <w:r w:rsidR="00C22BC6" w:rsidRPr="00DA1EBD">
        <w:rPr>
          <w:rFonts w:ascii="Cambria" w:hAnsi="Cambria"/>
          <w:sz w:val="16"/>
          <w:szCs w:val="16"/>
        </w:rPr>
        <w:t>The alleged victims as listed by the petitioner are identified in the annexed document.</w:t>
      </w:r>
    </w:p>
  </w:footnote>
  <w:footnote w:id="3">
    <w:p w14:paraId="533123B2" w14:textId="7376BD00" w:rsidR="00485A3E" w:rsidRPr="00DA1EBD" w:rsidRDefault="00485A3E" w:rsidP="00F45922">
      <w:pPr>
        <w:pStyle w:val="FootnoteText"/>
        <w:spacing w:before="120"/>
        <w:ind w:firstLine="720"/>
        <w:jc w:val="both"/>
        <w:rPr>
          <w:rFonts w:asciiTheme="majorHAnsi" w:hAnsiTheme="majorHAnsi"/>
          <w:sz w:val="16"/>
          <w:szCs w:val="16"/>
        </w:rPr>
      </w:pPr>
      <w:r w:rsidRPr="00DA1EBD">
        <w:rPr>
          <w:rStyle w:val="FootnoteReference"/>
          <w:rFonts w:asciiTheme="majorHAnsi" w:hAnsiTheme="majorHAnsi"/>
          <w:sz w:val="16"/>
          <w:szCs w:val="16"/>
        </w:rPr>
        <w:footnoteRef/>
      </w:r>
      <w:r w:rsidRPr="00DA1EBD">
        <w:rPr>
          <w:rFonts w:asciiTheme="majorHAnsi" w:hAnsiTheme="majorHAnsi"/>
          <w:sz w:val="16"/>
          <w:szCs w:val="16"/>
        </w:rPr>
        <w:t xml:space="preserve"> </w:t>
      </w:r>
      <w:r w:rsidR="00C22BC6" w:rsidRPr="00DA1EBD">
        <w:rPr>
          <w:rFonts w:asciiTheme="majorHAnsi" w:hAnsiTheme="majorHAnsi"/>
          <w:sz w:val="16"/>
          <w:szCs w:val="16"/>
        </w:rPr>
        <w:t>In accordance with the provisions of Article 17.2.</w:t>
      </w:r>
      <w:proofErr w:type="spellStart"/>
      <w:r w:rsidR="00C22BC6" w:rsidRPr="00DA1EBD">
        <w:rPr>
          <w:rFonts w:asciiTheme="majorHAnsi" w:hAnsiTheme="majorHAnsi"/>
          <w:sz w:val="16"/>
          <w:szCs w:val="16"/>
        </w:rPr>
        <w:t>a</w:t>
      </w:r>
      <w:proofErr w:type="spellEnd"/>
      <w:r w:rsidR="00C22BC6" w:rsidRPr="00DA1EBD">
        <w:rPr>
          <w:rFonts w:asciiTheme="majorHAnsi" w:hAnsiTheme="majorHAnsi"/>
          <w:sz w:val="16"/>
          <w:szCs w:val="16"/>
        </w:rPr>
        <w:t xml:space="preserve"> of the Commission’s Rules of Procedure, Commissioner Luis Ernesto Vargas Silva, of Colombian nationality, did not participate in either the discussion or decision in the present case.</w:t>
      </w:r>
    </w:p>
  </w:footnote>
  <w:footnote w:id="4">
    <w:p w14:paraId="4A930A6A" w14:textId="2C01903B" w:rsidR="00485A3E" w:rsidRPr="00DA1EBD" w:rsidRDefault="00485A3E" w:rsidP="00390935">
      <w:pPr>
        <w:pStyle w:val="FootnoteText"/>
        <w:spacing w:before="120"/>
        <w:ind w:firstLine="720"/>
        <w:jc w:val="both"/>
        <w:rPr>
          <w:rFonts w:asciiTheme="majorHAnsi" w:hAnsiTheme="majorHAnsi"/>
          <w:sz w:val="16"/>
          <w:szCs w:val="16"/>
        </w:rPr>
      </w:pPr>
      <w:r w:rsidRPr="00DA1EBD">
        <w:rPr>
          <w:rStyle w:val="FootnoteReference"/>
          <w:rFonts w:asciiTheme="majorHAnsi" w:hAnsiTheme="majorHAnsi"/>
          <w:sz w:val="16"/>
          <w:szCs w:val="16"/>
        </w:rPr>
        <w:footnoteRef/>
      </w:r>
      <w:r w:rsidRPr="00DA1EBD">
        <w:rPr>
          <w:rFonts w:asciiTheme="majorHAnsi" w:hAnsiTheme="majorHAnsi"/>
          <w:sz w:val="16"/>
          <w:szCs w:val="16"/>
        </w:rPr>
        <w:t xml:space="preserve"> </w:t>
      </w:r>
      <w:r w:rsidR="00C22BC6" w:rsidRPr="00DA1EBD">
        <w:rPr>
          <w:rFonts w:asciiTheme="majorHAnsi" w:hAnsiTheme="majorHAnsi"/>
          <w:sz w:val="16"/>
          <w:szCs w:val="16"/>
        </w:rPr>
        <w:t>Hereinafter the “Convention”, “American Convention”, or “ACHR”.</w:t>
      </w:r>
    </w:p>
  </w:footnote>
  <w:footnote w:id="5">
    <w:p w14:paraId="79881E60" w14:textId="2A4E9329" w:rsidR="00485A3E" w:rsidRPr="00DA1EBD" w:rsidRDefault="00485A3E" w:rsidP="00390935">
      <w:pPr>
        <w:pStyle w:val="FootnoteText"/>
        <w:spacing w:before="120"/>
        <w:ind w:firstLine="720"/>
        <w:jc w:val="both"/>
        <w:rPr>
          <w:rFonts w:asciiTheme="majorHAnsi" w:hAnsiTheme="majorHAnsi"/>
          <w:sz w:val="16"/>
          <w:szCs w:val="16"/>
        </w:rPr>
      </w:pPr>
      <w:r w:rsidRPr="00DA1EBD">
        <w:rPr>
          <w:rStyle w:val="FootnoteReference"/>
          <w:rFonts w:asciiTheme="majorHAnsi" w:hAnsiTheme="majorHAnsi"/>
          <w:sz w:val="16"/>
          <w:szCs w:val="16"/>
        </w:rPr>
        <w:footnoteRef/>
      </w:r>
      <w:r w:rsidRPr="00DA1EBD">
        <w:rPr>
          <w:rFonts w:asciiTheme="majorHAnsi" w:hAnsiTheme="majorHAnsi"/>
          <w:sz w:val="16"/>
          <w:szCs w:val="16"/>
        </w:rPr>
        <w:t xml:space="preserve"> </w:t>
      </w:r>
      <w:r w:rsidR="00C22BC6" w:rsidRPr="00DA1EBD">
        <w:rPr>
          <w:rFonts w:asciiTheme="majorHAnsi" w:hAnsiTheme="majorHAnsi"/>
          <w:sz w:val="16"/>
          <w:szCs w:val="16"/>
        </w:rPr>
        <w:t>Hereinafter IACPPT.</w:t>
      </w:r>
    </w:p>
  </w:footnote>
  <w:footnote w:id="6">
    <w:p w14:paraId="6F51BDAF" w14:textId="5F4755E7" w:rsidR="00485A3E" w:rsidRPr="00DA1EBD" w:rsidRDefault="00485A3E" w:rsidP="00210F4B">
      <w:pPr>
        <w:pStyle w:val="FootnoteText"/>
        <w:ind w:firstLine="720"/>
        <w:jc w:val="both"/>
        <w:rPr>
          <w:rFonts w:ascii="Cambria" w:hAnsi="Cambria"/>
          <w:sz w:val="16"/>
          <w:szCs w:val="16"/>
        </w:rPr>
      </w:pPr>
      <w:r w:rsidRPr="00DA1EBD">
        <w:rPr>
          <w:rStyle w:val="FootnoteReference"/>
          <w:rFonts w:ascii="Cambria" w:hAnsi="Cambria"/>
          <w:sz w:val="16"/>
          <w:szCs w:val="16"/>
        </w:rPr>
        <w:footnoteRef/>
      </w:r>
      <w:r w:rsidRPr="00DA1EBD">
        <w:rPr>
          <w:rFonts w:ascii="Cambria" w:hAnsi="Cambria"/>
          <w:sz w:val="16"/>
          <w:szCs w:val="16"/>
        </w:rPr>
        <w:t xml:space="preserve"> The observations submitted by each party were duly transmitted to the opposing party.</w:t>
      </w:r>
    </w:p>
  </w:footnote>
  <w:footnote w:id="7">
    <w:p w14:paraId="56D321F2" w14:textId="767FD34B" w:rsidR="00485A3E" w:rsidRPr="00DA1EBD" w:rsidRDefault="00485A3E" w:rsidP="00CB12AC">
      <w:pPr>
        <w:pStyle w:val="FootnoteText"/>
        <w:ind w:firstLine="720"/>
        <w:jc w:val="both"/>
        <w:rPr>
          <w:rFonts w:asciiTheme="majorHAnsi" w:hAnsiTheme="majorHAnsi"/>
          <w:sz w:val="16"/>
          <w:szCs w:val="16"/>
        </w:rPr>
      </w:pPr>
      <w:r w:rsidRPr="00DA1EBD">
        <w:rPr>
          <w:rStyle w:val="FootnoteReference"/>
          <w:rFonts w:asciiTheme="majorHAnsi" w:hAnsiTheme="majorHAnsi"/>
          <w:sz w:val="16"/>
          <w:szCs w:val="16"/>
        </w:rPr>
        <w:footnoteRef/>
      </w:r>
      <w:r w:rsidRPr="00DA1EBD">
        <w:rPr>
          <w:rFonts w:asciiTheme="majorHAnsi" w:hAnsiTheme="majorHAnsi"/>
          <w:sz w:val="16"/>
          <w:szCs w:val="16"/>
        </w:rPr>
        <w:t xml:space="preserve"> IACHR, Report No.54/15, Petition 467/97, Admissibility. </w:t>
      </w:r>
      <w:r w:rsidRPr="00D72BAF">
        <w:rPr>
          <w:rFonts w:asciiTheme="majorHAnsi" w:hAnsiTheme="majorHAnsi"/>
          <w:i/>
          <w:sz w:val="16"/>
          <w:szCs w:val="16"/>
          <w:lang w:val="es-US"/>
        </w:rPr>
        <w:t>Campamento</w:t>
      </w:r>
      <w:r w:rsidRPr="00D72BAF">
        <w:rPr>
          <w:rFonts w:asciiTheme="majorHAnsi" w:hAnsiTheme="majorHAnsi"/>
          <w:sz w:val="16"/>
          <w:szCs w:val="16"/>
          <w:lang w:val="es-US"/>
        </w:rPr>
        <w:t xml:space="preserve"> </w:t>
      </w:r>
      <w:proofErr w:type="spellStart"/>
      <w:r w:rsidRPr="00D72BAF">
        <w:rPr>
          <w:rFonts w:asciiTheme="majorHAnsi" w:hAnsiTheme="majorHAnsi"/>
          <w:sz w:val="16"/>
          <w:szCs w:val="16"/>
          <w:lang w:val="es-US"/>
        </w:rPr>
        <w:t>Massacre</w:t>
      </w:r>
      <w:proofErr w:type="spellEnd"/>
      <w:r w:rsidRPr="00D72BAF">
        <w:rPr>
          <w:rFonts w:asciiTheme="majorHAnsi" w:hAnsiTheme="majorHAnsi"/>
          <w:sz w:val="16"/>
          <w:szCs w:val="16"/>
          <w:lang w:val="es-US"/>
        </w:rPr>
        <w:t xml:space="preserve">, Colombia, </w:t>
      </w:r>
      <w:proofErr w:type="spellStart"/>
      <w:r w:rsidRPr="00D72BAF">
        <w:rPr>
          <w:rFonts w:asciiTheme="majorHAnsi" w:hAnsiTheme="majorHAnsi"/>
          <w:sz w:val="16"/>
          <w:szCs w:val="16"/>
          <w:lang w:val="es-US"/>
        </w:rPr>
        <w:t>October</w:t>
      </w:r>
      <w:proofErr w:type="spellEnd"/>
      <w:r w:rsidRPr="00D72BAF">
        <w:rPr>
          <w:rFonts w:asciiTheme="majorHAnsi" w:hAnsiTheme="majorHAnsi"/>
          <w:sz w:val="16"/>
          <w:szCs w:val="16"/>
          <w:lang w:val="es-US"/>
        </w:rPr>
        <w:t xml:space="preserve"> 17, 2015, para. </w:t>
      </w:r>
      <w:r w:rsidRPr="00DA1EBD">
        <w:rPr>
          <w:rFonts w:asciiTheme="majorHAnsi" w:hAnsiTheme="majorHAnsi"/>
          <w:sz w:val="16"/>
          <w:szCs w:val="16"/>
        </w:rPr>
        <w:t>33.</w:t>
      </w:r>
    </w:p>
    <w:p w14:paraId="2172C9E9" w14:textId="77777777" w:rsidR="00485A3E" w:rsidRPr="00DA1EBD" w:rsidRDefault="00485A3E" w:rsidP="00CB12AC">
      <w:pPr>
        <w:pStyle w:val="FootnoteText"/>
        <w:ind w:firstLine="720"/>
        <w:jc w:val="both"/>
        <w:rPr>
          <w:rFonts w:asciiTheme="majorHAnsi" w:hAnsiTheme="majorHAnsi"/>
          <w:sz w:val="16"/>
          <w:szCs w:val="16"/>
        </w:rPr>
      </w:pPr>
    </w:p>
  </w:footnote>
  <w:footnote w:id="8">
    <w:p w14:paraId="25441397" w14:textId="77BB9703" w:rsidR="00485A3E" w:rsidRPr="00DA1EBD" w:rsidRDefault="00485A3E" w:rsidP="00F41DE3">
      <w:pPr>
        <w:pStyle w:val="FootnoteText"/>
        <w:ind w:firstLine="720"/>
        <w:jc w:val="both"/>
        <w:rPr>
          <w:rFonts w:asciiTheme="majorHAnsi" w:hAnsiTheme="majorHAnsi"/>
          <w:sz w:val="16"/>
          <w:szCs w:val="16"/>
        </w:rPr>
      </w:pPr>
      <w:r w:rsidRPr="00DA1EBD">
        <w:rPr>
          <w:rStyle w:val="FootnoteReference"/>
          <w:rFonts w:asciiTheme="majorHAnsi" w:hAnsiTheme="majorHAnsi"/>
          <w:sz w:val="16"/>
          <w:szCs w:val="16"/>
        </w:rPr>
        <w:footnoteRef/>
      </w:r>
      <w:r w:rsidRPr="00DA1EBD">
        <w:rPr>
          <w:rFonts w:asciiTheme="majorHAnsi" w:hAnsiTheme="majorHAnsi"/>
          <w:sz w:val="16"/>
          <w:szCs w:val="16"/>
        </w:rPr>
        <w:t xml:space="preserve"> IACHR, Report No. 107/17. Petition 535-07. Admissibility. </w:t>
      </w:r>
      <w:r w:rsidRPr="00980BE8">
        <w:rPr>
          <w:rFonts w:asciiTheme="majorHAnsi" w:hAnsiTheme="majorHAnsi"/>
          <w:sz w:val="16"/>
          <w:szCs w:val="16"/>
          <w:lang w:val="pt-BR"/>
        </w:rPr>
        <w:t xml:space="preserve">Vitelio Capera Cruz and family. </w:t>
      </w:r>
      <w:r w:rsidRPr="00DA1EBD">
        <w:rPr>
          <w:rFonts w:asciiTheme="majorHAnsi" w:hAnsiTheme="majorHAnsi"/>
          <w:sz w:val="16"/>
          <w:szCs w:val="16"/>
        </w:rPr>
        <w:t>Colombia. September 7, 2017, para.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485A3E" w:rsidRDefault="00485A3E" w:rsidP="00F4592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485A3E" w:rsidRDefault="00485A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485A3E" w:rsidRDefault="00485A3E"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485A3E" w:rsidRPr="00EC7D62" w:rsidRDefault="00145145"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3E55E" w14:textId="77777777" w:rsidR="003E48C3" w:rsidRDefault="003E48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183CDC"/>
    <w:multiLevelType w:val="hybridMultilevel"/>
    <w:tmpl w:val="587C0842"/>
    <w:lvl w:ilvl="0" w:tplc="9E9A1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20ED"/>
    <w:rsid w:val="0001788C"/>
    <w:rsid w:val="00022CF5"/>
    <w:rsid w:val="00036A8A"/>
    <w:rsid w:val="00040C3A"/>
    <w:rsid w:val="000472D4"/>
    <w:rsid w:val="00062DEC"/>
    <w:rsid w:val="000639C0"/>
    <w:rsid w:val="00070F3A"/>
    <w:rsid w:val="000716C5"/>
    <w:rsid w:val="00075E23"/>
    <w:rsid w:val="000850B7"/>
    <w:rsid w:val="00092C50"/>
    <w:rsid w:val="00092F32"/>
    <w:rsid w:val="0009344A"/>
    <w:rsid w:val="000937A9"/>
    <w:rsid w:val="000A575F"/>
    <w:rsid w:val="000B712F"/>
    <w:rsid w:val="000C4365"/>
    <w:rsid w:val="000D10DB"/>
    <w:rsid w:val="000F0F45"/>
    <w:rsid w:val="000F1624"/>
    <w:rsid w:val="000F5317"/>
    <w:rsid w:val="00123E1D"/>
    <w:rsid w:val="00124116"/>
    <w:rsid w:val="0013104F"/>
    <w:rsid w:val="00137EBA"/>
    <w:rsid w:val="00145145"/>
    <w:rsid w:val="00145EDC"/>
    <w:rsid w:val="00153084"/>
    <w:rsid w:val="001606CD"/>
    <w:rsid w:val="001667C9"/>
    <w:rsid w:val="00167A34"/>
    <w:rsid w:val="001714B4"/>
    <w:rsid w:val="0018037F"/>
    <w:rsid w:val="00190646"/>
    <w:rsid w:val="0019666F"/>
    <w:rsid w:val="00196C43"/>
    <w:rsid w:val="001A5F27"/>
    <w:rsid w:val="001A629F"/>
    <w:rsid w:val="001A65E4"/>
    <w:rsid w:val="001A7870"/>
    <w:rsid w:val="001C1B41"/>
    <w:rsid w:val="001D11EB"/>
    <w:rsid w:val="001E366B"/>
    <w:rsid w:val="001E7356"/>
    <w:rsid w:val="001F1902"/>
    <w:rsid w:val="00210E0E"/>
    <w:rsid w:val="00210F4B"/>
    <w:rsid w:val="0021302C"/>
    <w:rsid w:val="00230163"/>
    <w:rsid w:val="0023351C"/>
    <w:rsid w:val="0024601D"/>
    <w:rsid w:val="00247403"/>
    <w:rsid w:val="00247542"/>
    <w:rsid w:val="00257893"/>
    <w:rsid w:val="00266092"/>
    <w:rsid w:val="00266B61"/>
    <w:rsid w:val="0026712A"/>
    <w:rsid w:val="002704DB"/>
    <w:rsid w:val="00270A09"/>
    <w:rsid w:val="002760CE"/>
    <w:rsid w:val="002B7A85"/>
    <w:rsid w:val="002C1641"/>
    <w:rsid w:val="002C186A"/>
    <w:rsid w:val="002D4589"/>
    <w:rsid w:val="002D7EA2"/>
    <w:rsid w:val="002E15DF"/>
    <w:rsid w:val="002E187C"/>
    <w:rsid w:val="002E6E57"/>
    <w:rsid w:val="00301075"/>
    <w:rsid w:val="00302733"/>
    <w:rsid w:val="00311A4F"/>
    <w:rsid w:val="00314078"/>
    <w:rsid w:val="00321AFD"/>
    <w:rsid w:val="00322450"/>
    <w:rsid w:val="00322EFF"/>
    <w:rsid w:val="003246B5"/>
    <w:rsid w:val="00330AC2"/>
    <w:rsid w:val="0033169F"/>
    <w:rsid w:val="003337E3"/>
    <w:rsid w:val="00336152"/>
    <w:rsid w:val="00337A48"/>
    <w:rsid w:val="003413A3"/>
    <w:rsid w:val="003414AC"/>
    <w:rsid w:val="00341AA9"/>
    <w:rsid w:val="0035022C"/>
    <w:rsid w:val="00356185"/>
    <w:rsid w:val="00360380"/>
    <w:rsid w:val="003771A3"/>
    <w:rsid w:val="00386CF0"/>
    <w:rsid w:val="003879AB"/>
    <w:rsid w:val="00390935"/>
    <w:rsid w:val="00392AC1"/>
    <w:rsid w:val="003A4348"/>
    <w:rsid w:val="003C32BC"/>
    <w:rsid w:val="003D4F05"/>
    <w:rsid w:val="003E3954"/>
    <w:rsid w:val="003E3E03"/>
    <w:rsid w:val="003E48C3"/>
    <w:rsid w:val="003F1BBF"/>
    <w:rsid w:val="0040191B"/>
    <w:rsid w:val="004162B1"/>
    <w:rsid w:val="004165C2"/>
    <w:rsid w:val="0042563C"/>
    <w:rsid w:val="00450A4A"/>
    <w:rsid w:val="004666FB"/>
    <w:rsid w:val="00466D0B"/>
    <w:rsid w:val="00467B7E"/>
    <w:rsid w:val="0047050A"/>
    <w:rsid w:val="004761EE"/>
    <w:rsid w:val="00485A3E"/>
    <w:rsid w:val="0049419D"/>
    <w:rsid w:val="004B2762"/>
    <w:rsid w:val="004B7EB6"/>
    <w:rsid w:val="004C41DE"/>
    <w:rsid w:val="004C4B62"/>
    <w:rsid w:val="004D6025"/>
    <w:rsid w:val="004D72BC"/>
    <w:rsid w:val="004E39A8"/>
    <w:rsid w:val="004E5DE6"/>
    <w:rsid w:val="004F6B67"/>
    <w:rsid w:val="00501399"/>
    <w:rsid w:val="00507BC4"/>
    <w:rsid w:val="005128E4"/>
    <w:rsid w:val="00513BAE"/>
    <w:rsid w:val="00522F2B"/>
    <w:rsid w:val="00523113"/>
    <w:rsid w:val="00525560"/>
    <w:rsid w:val="005357A6"/>
    <w:rsid w:val="00536EAE"/>
    <w:rsid w:val="00544C49"/>
    <w:rsid w:val="0057402A"/>
    <w:rsid w:val="005771D0"/>
    <w:rsid w:val="00577C17"/>
    <w:rsid w:val="005816E5"/>
    <w:rsid w:val="0059191A"/>
    <w:rsid w:val="005921FF"/>
    <w:rsid w:val="00592718"/>
    <w:rsid w:val="005A6D0E"/>
    <w:rsid w:val="005B222D"/>
    <w:rsid w:val="005B52B0"/>
    <w:rsid w:val="005B6806"/>
    <w:rsid w:val="005C00F9"/>
    <w:rsid w:val="005C30FF"/>
    <w:rsid w:val="005C4225"/>
    <w:rsid w:val="005D728C"/>
    <w:rsid w:val="005E2965"/>
    <w:rsid w:val="005E687F"/>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0A19"/>
    <w:rsid w:val="006E2CA5"/>
    <w:rsid w:val="006E7B34"/>
    <w:rsid w:val="00701B24"/>
    <w:rsid w:val="0071495F"/>
    <w:rsid w:val="00723259"/>
    <w:rsid w:val="00735910"/>
    <w:rsid w:val="0073798E"/>
    <w:rsid w:val="0074279C"/>
    <w:rsid w:val="00745899"/>
    <w:rsid w:val="007513EE"/>
    <w:rsid w:val="00755B42"/>
    <w:rsid w:val="007607C4"/>
    <w:rsid w:val="0076609A"/>
    <w:rsid w:val="0076643F"/>
    <w:rsid w:val="00781653"/>
    <w:rsid w:val="00785275"/>
    <w:rsid w:val="007956A6"/>
    <w:rsid w:val="007A2F70"/>
    <w:rsid w:val="007C3334"/>
    <w:rsid w:val="007C52BB"/>
    <w:rsid w:val="007D0305"/>
    <w:rsid w:val="007D2B98"/>
    <w:rsid w:val="00803F1C"/>
    <w:rsid w:val="0080600E"/>
    <w:rsid w:val="00817612"/>
    <w:rsid w:val="00826D8C"/>
    <w:rsid w:val="00835FE3"/>
    <w:rsid w:val="0083772B"/>
    <w:rsid w:val="00837C45"/>
    <w:rsid w:val="00842436"/>
    <w:rsid w:val="00853419"/>
    <w:rsid w:val="00862563"/>
    <w:rsid w:val="00897E12"/>
    <w:rsid w:val="008A3640"/>
    <w:rsid w:val="008B4DBA"/>
    <w:rsid w:val="008D43BA"/>
    <w:rsid w:val="008E3759"/>
    <w:rsid w:val="009041DC"/>
    <w:rsid w:val="009104B4"/>
    <w:rsid w:val="00911249"/>
    <w:rsid w:val="00914AE7"/>
    <w:rsid w:val="009228DA"/>
    <w:rsid w:val="00925FCD"/>
    <w:rsid w:val="0093441A"/>
    <w:rsid w:val="00946F23"/>
    <w:rsid w:val="00954BF7"/>
    <w:rsid w:val="0096706E"/>
    <w:rsid w:val="009671DC"/>
    <w:rsid w:val="00980BE8"/>
    <w:rsid w:val="00981FBA"/>
    <w:rsid w:val="00993A08"/>
    <w:rsid w:val="009A67DA"/>
    <w:rsid w:val="009B381B"/>
    <w:rsid w:val="009D4457"/>
    <w:rsid w:val="009D7611"/>
    <w:rsid w:val="009E53DE"/>
    <w:rsid w:val="009E566A"/>
    <w:rsid w:val="00A12DBC"/>
    <w:rsid w:val="00A40F8C"/>
    <w:rsid w:val="00A43458"/>
    <w:rsid w:val="00A528D1"/>
    <w:rsid w:val="00A66BE5"/>
    <w:rsid w:val="00AD0B36"/>
    <w:rsid w:val="00AD37C1"/>
    <w:rsid w:val="00AE66EC"/>
    <w:rsid w:val="00AE6F91"/>
    <w:rsid w:val="00AF5571"/>
    <w:rsid w:val="00B06BB7"/>
    <w:rsid w:val="00B147A2"/>
    <w:rsid w:val="00B167E9"/>
    <w:rsid w:val="00B179ED"/>
    <w:rsid w:val="00B21DFD"/>
    <w:rsid w:val="00B314DB"/>
    <w:rsid w:val="00B31EBE"/>
    <w:rsid w:val="00B3718B"/>
    <w:rsid w:val="00B44B23"/>
    <w:rsid w:val="00B4632A"/>
    <w:rsid w:val="00B471CD"/>
    <w:rsid w:val="00B92E49"/>
    <w:rsid w:val="00BA276C"/>
    <w:rsid w:val="00BB306F"/>
    <w:rsid w:val="00BC592A"/>
    <w:rsid w:val="00BD232B"/>
    <w:rsid w:val="00BD2E42"/>
    <w:rsid w:val="00BD3ACB"/>
    <w:rsid w:val="00BD41FB"/>
    <w:rsid w:val="00BD4B89"/>
    <w:rsid w:val="00C14867"/>
    <w:rsid w:val="00C21762"/>
    <w:rsid w:val="00C22BC6"/>
    <w:rsid w:val="00C24543"/>
    <w:rsid w:val="00C256A2"/>
    <w:rsid w:val="00C3492D"/>
    <w:rsid w:val="00C53B07"/>
    <w:rsid w:val="00C55560"/>
    <w:rsid w:val="00C66B72"/>
    <w:rsid w:val="00C9567A"/>
    <w:rsid w:val="00CA38DB"/>
    <w:rsid w:val="00CA6577"/>
    <w:rsid w:val="00CB12AC"/>
    <w:rsid w:val="00CB2660"/>
    <w:rsid w:val="00CC5E90"/>
    <w:rsid w:val="00CD046C"/>
    <w:rsid w:val="00CE5199"/>
    <w:rsid w:val="00CE66D5"/>
    <w:rsid w:val="00D06693"/>
    <w:rsid w:val="00D06A9C"/>
    <w:rsid w:val="00D23FB5"/>
    <w:rsid w:val="00D34786"/>
    <w:rsid w:val="00D40A1E"/>
    <w:rsid w:val="00D533C0"/>
    <w:rsid w:val="00D57CB5"/>
    <w:rsid w:val="00D712D3"/>
    <w:rsid w:val="00D71422"/>
    <w:rsid w:val="00D7145E"/>
    <w:rsid w:val="00D72BAF"/>
    <w:rsid w:val="00D75084"/>
    <w:rsid w:val="00D7558D"/>
    <w:rsid w:val="00D81D92"/>
    <w:rsid w:val="00D84402"/>
    <w:rsid w:val="00D93446"/>
    <w:rsid w:val="00D96A9E"/>
    <w:rsid w:val="00DA1EBD"/>
    <w:rsid w:val="00DA740B"/>
    <w:rsid w:val="00DA7B5F"/>
    <w:rsid w:val="00DF078B"/>
    <w:rsid w:val="00DF350D"/>
    <w:rsid w:val="00E005F6"/>
    <w:rsid w:val="00E227C1"/>
    <w:rsid w:val="00E43157"/>
    <w:rsid w:val="00E4688A"/>
    <w:rsid w:val="00E47F3D"/>
    <w:rsid w:val="00E533FF"/>
    <w:rsid w:val="00E709B3"/>
    <w:rsid w:val="00E7588C"/>
    <w:rsid w:val="00E850B6"/>
    <w:rsid w:val="00E8789F"/>
    <w:rsid w:val="00E97B71"/>
    <w:rsid w:val="00EB454D"/>
    <w:rsid w:val="00ED0D1B"/>
    <w:rsid w:val="00ED2BB7"/>
    <w:rsid w:val="00EE3522"/>
    <w:rsid w:val="00EF619B"/>
    <w:rsid w:val="00F00B55"/>
    <w:rsid w:val="00F1380F"/>
    <w:rsid w:val="00F14F0E"/>
    <w:rsid w:val="00F15A3B"/>
    <w:rsid w:val="00F24C29"/>
    <w:rsid w:val="00F253CC"/>
    <w:rsid w:val="00F41DE3"/>
    <w:rsid w:val="00F42B71"/>
    <w:rsid w:val="00F45922"/>
    <w:rsid w:val="00F56BA5"/>
    <w:rsid w:val="00F621C3"/>
    <w:rsid w:val="00F62EB5"/>
    <w:rsid w:val="00F644E6"/>
    <w:rsid w:val="00F9653B"/>
    <w:rsid w:val="00FB62CF"/>
    <w:rsid w:val="00FC3EB4"/>
    <w:rsid w:val="00FC6C58"/>
    <w:rsid w:val="00FE0A37"/>
    <w:rsid w:val="00FE681C"/>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330DD0"/>
    <w:rsid w:val="003E6890"/>
    <w:rsid w:val="004108B1"/>
    <w:rsid w:val="009F7DDA"/>
    <w:rsid w:val="00AB44F1"/>
    <w:rsid w:val="00C20C14"/>
    <w:rsid w:val="00D72600"/>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2C931-551C-4AAC-AF00-49B35250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3515</Words>
  <Characters>18843</Characters>
  <Application>Microsoft Office Word</Application>
  <DocSecurity>0</DocSecurity>
  <Lines>448</Lines>
  <Paragraphs>136</Paragraphs>
  <ScaleCrop>false</ScaleCrop>
  <Company/>
  <LinksUpToDate>false</LinksUpToDate>
  <CharactersWithSpaces>22222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7/19</dc:title>
  <dc:creator/>
  <cp:lastModifiedBy/>
  <cp:revision>1</cp:revision>
  <dcterms:created xsi:type="dcterms:W3CDTF">2019-04-12T11:21:00Z</dcterms:created>
  <dcterms:modified xsi:type="dcterms:W3CDTF">2019-04-12T11:21:00Z</dcterms:modified>
</cp:coreProperties>
</file>